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08FD" w14:textId="77777777" w:rsidR="008A0748" w:rsidRDefault="00D13A77" w:rsidP="00D32865">
      <w:pPr>
        <w:ind w:left="-1440"/>
      </w:pPr>
      <w:r>
        <w:rPr>
          <w:noProof/>
          <w:lang w:eastAsia="en-GB"/>
        </w:rPr>
        <mc:AlternateContent>
          <mc:Choice Requires="wps">
            <w:drawing>
              <wp:anchor distT="0" distB="0" distL="114300" distR="114300" simplePos="0" relativeHeight="251661312" behindDoc="0" locked="0" layoutInCell="1" allowOverlap="1" wp14:anchorId="2FE9C69F" wp14:editId="367591A3">
                <wp:simplePos x="0" y="0"/>
                <wp:positionH relativeFrom="page">
                  <wp:posOffset>861646</wp:posOffset>
                </wp:positionH>
                <wp:positionV relativeFrom="paragraph">
                  <wp:posOffset>3235569</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B39616" w14:textId="6AC36E3C" w:rsidR="005E553F" w:rsidRDefault="005E553F" w:rsidP="00A233EB">
                            <w:r w:rsidRPr="00A233EB">
                              <w:rPr>
                                <w:rFonts w:ascii="Georgia" w:hAnsi="Georgia"/>
                                <w:bCs/>
                                <w:color w:val="FFFFFF" w:themeColor="background1"/>
                                <w:sz w:val="72"/>
                                <w:szCs w:val="72"/>
                              </w:rPr>
                              <w:t>EXAMININ</w:t>
                            </w:r>
                            <w:r>
                              <w:rPr>
                                <w:rFonts w:ascii="Georgia" w:hAnsi="Georgia"/>
                                <w:bCs/>
                                <w:color w:val="FFFFFF" w:themeColor="background1"/>
                                <w:sz w:val="72"/>
                                <w:szCs w:val="72"/>
                              </w:rPr>
                              <w:t>G BOARD NOTES OF GUIDANCE – 2019/2020</w:t>
                            </w:r>
                            <w:r w:rsidRPr="00A233EB">
                              <w:rPr>
                                <w:rFonts w:ascii="Georgia" w:hAnsi="Georgia"/>
                                <w:bCs/>
                                <w:color w:val="FFFFFF" w:themeColor="background1"/>
                                <w:sz w:val="72"/>
                                <w:szCs w:val="72"/>
                              </w:rPr>
                              <w:t xml:space="preserve"> MEETINGS</w:t>
                            </w:r>
                          </w:p>
                          <w:p w14:paraId="3391D044" w14:textId="77777777" w:rsidR="005E553F" w:rsidRDefault="005E553F" w:rsidP="004C2355"/>
                          <w:p w14:paraId="7BEF875B" w14:textId="77777777" w:rsidR="005E553F" w:rsidRDefault="005E553F" w:rsidP="004C2355"/>
                          <w:p w14:paraId="2F28B947" w14:textId="77777777" w:rsidR="005E553F" w:rsidRDefault="005E553F" w:rsidP="004C2355"/>
                          <w:p w14:paraId="48589F27" w14:textId="661819F1" w:rsidR="005E553F" w:rsidRPr="005F7D5A" w:rsidRDefault="005E553F" w:rsidP="00D26953">
                            <w:pPr>
                              <w:pStyle w:val="Frontcoversubtitle"/>
                            </w:pPr>
                            <w:r>
                              <w:t>Student and Academic Services February 2020</w:t>
                            </w:r>
                          </w:p>
                          <w:p w14:paraId="0ADE6427" w14:textId="77777777" w:rsidR="005E553F" w:rsidRDefault="005E55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9C69F" id="_x0000_t202" coordsize="21600,21600" o:spt="202" path="m,l,21600r21600,l21600,xe">
                <v:stroke joinstyle="miter"/>
                <v:path gradientshapeok="t" o:connecttype="rect"/>
              </v:shapetype>
              <v:shape id="Text Box 5" o:spid="_x0000_s1026" type="#_x0000_t202" style="position:absolute;left:0;text-align:left;margin-left:67.85pt;margin-top:254.75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" filled="f" stroked="f">
                <v:textbox>
                  <w:txbxContent>
                    <w:p w14:paraId="7BB39616" w14:textId="6AC36E3C" w:rsidR="005E553F" w:rsidRDefault="005E553F" w:rsidP="00A233EB">
                      <w:r w:rsidRPr="00A233EB">
                        <w:rPr>
                          <w:rFonts w:ascii="Georgia" w:hAnsi="Georgia"/>
                          <w:bCs/>
                          <w:color w:val="FFFFFF" w:themeColor="background1"/>
                          <w:sz w:val="72"/>
                          <w:szCs w:val="72"/>
                        </w:rPr>
                        <w:t>EXAMININ</w:t>
                      </w:r>
                      <w:r>
                        <w:rPr>
                          <w:rFonts w:ascii="Georgia" w:hAnsi="Georgia"/>
                          <w:bCs/>
                          <w:color w:val="FFFFFF" w:themeColor="background1"/>
                          <w:sz w:val="72"/>
                          <w:szCs w:val="72"/>
                        </w:rPr>
                        <w:t>G BOARD NOTES OF GUIDANCE – 2019/2020</w:t>
                      </w:r>
                      <w:r w:rsidRPr="00A233EB">
                        <w:rPr>
                          <w:rFonts w:ascii="Georgia" w:hAnsi="Georgia"/>
                          <w:bCs/>
                          <w:color w:val="FFFFFF" w:themeColor="background1"/>
                          <w:sz w:val="72"/>
                          <w:szCs w:val="72"/>
                        </w:rPr>
                        <w:t xml:space="preserve"> MEETINGS</w:t>
                      </w:r>
                    </w:p>
                    <w:p w14:paraId="3391D044" w14:textId="77777777" w:rsidR="005E553F" w:rsidRDefault="005E553F" w:rsidP="004C2355"/>
                    <w:p w14:paraId="7BEF875B" w14:textId="77777777" w:rsidR="005E553F" w:rsidRDefault="005E553F" w:rsidP="004C2355"/>
                    <w:p w14:paraId="2F28B947" w14:textId="77777777" w:rsidR="005E553F" w:rsidRDefault="005E553F" w:rsidP="004C2355"/>
                    <w:p w14:paraId="48589F27" w14:textId="661819F1" w:rsidR="005E553F" w:rsidRPr="005F7D5A" w:rsidRDefault="005E553F" w:rsidP="00D26953">
                      <w:pPr>
                        <w:pStyle w:val="Frontcoversubtitle"/>
                      </w:pPr>
                      <w:r>
                        <w:t>Student and Academic Services February 2020</w:t>
                      </w:r>
                    </w:p>
                    <w:p w14:paraId="0ADE6427" w14:textId="77777777" w:rsidR="005E553F" w:rsidRDefault="005E553F"/>
                  </w:txbxContent>
                </v:textbox>
                <w10:wrap type="square" anchorx="page"/>
              </v:shape>
            </w:pict>
          </mc:Fallback>
        </mc:AlternateContent>
      </w:r>
    </w:p>
    <w:p w14:paraId="350DA4EF" w14:textId="77777777" w:rsidR="008A0748" w:rsidRPr="008A0748" w:rsidRDefault="00A233EB" w:rsidP="008A0748">
      <w:pPr>
        <w:sectPr w:rsidR="008A0748" w:rsidRPr="008A0748" w:rsidSect="00F25B40">
          <w:footerReference w:type="even" r:id="rId12"/>
          <w:footerReference w:type="default" r:id="rId13"/>
          <w:type w:val="continuous"/>
          <w:pgSz w:w="11900" w:h="16840"/>
          <w:pgMar w:top="0" w:right="1440" w:bottom="1440" w:left="1440" w:header="0" w:footer="0" w:gutter="0"/>
          <w:pgNumType w:start="1"/>
          <w:cols w:space="720"/>
          <w:titlePg/>
          <w:docGrid w:linePitch="360"/>
        </w:sectPr>
      </w:pPr>
      <w:r>
        <w:rPr>
          <w:noProof/>
          <w:lang w:eastAsia="en-GB"/>
        </w:rPr>
        <mc:AlternateContent>
          <mc:Choice Requires="wps">
            <w:drawing>
              <wp:anchor distT="0" distB="0" distL="114300" distR="114300" simplePos="0" relativeHeight="251664384" behindDoc="1" locked="0" layoutInCell="1" allowOverlap="1" wp14:anchorId="5760E5D1" wp14:editId="3B5D6755">
                <wp:simplePos x="0" y="0"/>
                <wp:positionH relativeFrom="page">
                  <wp:posOffset>360045</wp:posOffset>
                </wp:positionH>
                <wp:positionV relativeFrom="paragraph">
                  <wp:posOffset>2828925</wp:posOffset>
                </wp:positionV>
                <wp:extent cx="6839640" cy="3420000"/>
                <wp:effectExtent l="0" t="0" r="0" b="9525"/>
                <wp:wrapNone/>
                <wp:docPr id="8" name="Rectangle 8"/>
                <wp:cNvGraphicFramePr/>
                <a:graphic xmlns:a="http://schemas.openxmlformats.org/drawingml/2006/main">
                  <a:graphicData uri="http://schemas.microsoft.com/office/word/2010/wordprocessingShape">
                    <wps:wsp>
                      <wps:cNvSpPr/>
                      <wps:spPr>
                        <a:xfrm>
                          <a:off x="0" y="0"/>
                          <a:ext cx="6839640" cy="3420000"/>
                        </a:xfrm>
                        <a:prstGeom prst="rect">
                          <a:avLst/>
                        </a:prstGeom>
                        <a:solidFill>
                          <a:srgbClr val="1A9D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7BD40D" w14:textId="77777777" w:rsidR="005E553F" w:rsidRDefault="005E553F" w:rsidP="00B84B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0E5D1" id="Rectangle 8" o:spid="_x0000_s1027" style="position:absolute;margin-left:28.35pt;margin-top:222.75pt;width:538.55pt;height:2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" fillcolor="#1a9dac" stroked="f" strokeweight="1pt">
                <v:textbox>
                  <w:txbxContent>
                    <w:p w14:paraId="057BD40D" w14:textId="77777777" w:rsidR="005E553F" w:rsidRDefault="005E553F" w:rsidP="00B84BF1">
                      <w:pPr>
                        <w:jc w:val="center"/>
                      </w:pPr>
                    </w:p>
                  </w:txbxContent>
                </v:textbox>
                <w10:wrap anchorx="page"/>
              </v:rect>
            </w:pict>
          </mc:Fallback>
        </mc:AlternateContent>
      </w:r>
      <w:r w:rsidR="00041B71" w:rsidRPr="003E54DA">
        <w:rPr>
          <w:noProof/>
          <w:lang w:eastAsia="en-GB"/>
        </w:rPr>
        <mc:AlternateContent>
          <mc:Choice Requires="wps">
            <w:drawing>
              <wp:anchor distT="0" distB="0" distL="114300" distR="114300" simplePos="0" relativeHeight="251666432" behindDoc="0" locked="1" layoutInCell="1" allowOverlap="1" wp14:anchorId="0951EAA5" wp14:editId="26A3695A">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E8594E" w14:textId="77777777" w:rsidR="005E553F" w:rsidRDefault="005E553F" w:rsidP="00041B71">
                            <w:r>
                              <w:rPr>
                                <w:noProof/>
                                <w:lang w:eastAsia="en-GB"/>
                              </w:rPr>
                              <w:drawing>
                                <wp:inline distT="0" distB="0" distL="0" distR="0" wp14:anchorId="77C72927" wp14:editId="2E82C40A">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1EAA5" id="Text Box 1" o:spid="_x0000_s1028"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BReaxEbQIAAFAFAAAOAAAAAAAAAAAA&#10;AAAAAC4CAABkcnMvZTJvRG9jLnhtbFBLAQItABQABgAIAAAAIQDCcsE14QAAAA0BAAAPAAAAAAAA&#10;AAAAAAAAAMcEAABkcnMvZG93bnJldi54bWxQSwUGAAAAAAQABADzAAAA1QUAAAAA&#10;" filled="f" stroked="f">
                <v:textbox inset="0,0,0,0">
                  <w:txbxContent>
                    <w:p w14:paraId="7EE8594E" w14:textId="77777777" w:rsidR="005E553F" w:rsidRDefault="005E553F" w:rsidP="00041B71">
                      <w:r>
                        <w:rPr>
                          <w:noProof/>
                          <w:lang w:eastAsia="en-GB"/>
                        </w:rPr>
                        <w:drawing>
                          <wp:inline distT="0" distB="0" distL="0" distR="0" wp14:anchorId="77C72927" wp14:editId="2E82C40A">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677D2230" w14:textId="77777777" w:rsidR="00A62EE1" w:rsidRPr="00D26953" w:rsidRDefault="003E54DA" w:rsidP="00D26953">
      <w:pPr>
        <w:pStyle w:val="Heading1"/>
      </w:pPr>
      <w:bookmarkStart w:id="0" w:name="_Toc471218423"/>
      <w:r w:rsidRPr="00C07377">
        <w:lastRenderedPageBreak/>
        <w:t>Contents</w:t>
      </w:r>
      <w:bookmarkEnd w:id="0"/>
    </w:p>
    <w:p w14:paraId="46958293" w14:textId="77777777" w:rsidR="0022777F" w:rsidRDefault="0022777F" w:rsidP="0022777F"/>
    <w:p w14:paraId="70BF13E5" w14:textId="77777777" w:rsidR="00E96FD4" w:rsidRPr="00BC5999" w:rsidRDefault="00E96FD4" w:rsidP="00BC5999">
      <w:pPr>
        <w:pStyle w:val="ContentsList"/>
      </w:pPr>
      <w:r w:rsidRPr="00BC5999">
        <w:t>Introduction</w:t>
      </w:r>
      <w:r w:rsidRPr="00BC5999">
        <w:tab/>
      </w:r>
      <w:r w:rsidRPr="00BC5999">
        <w:tab/>
      </w:r>
      <w:r w:rsidRPr="00BC5999">
        <w:tab/>
      </w:r>
      <w:r w:rsidRPr="00BC5999">
        <w:tab/>
      </w:r>
      <w:r w:rsidRPr="00BC5999">
        <w:tab/>
      </w:r>
      <w:r w:rsidRPr="00BC5999">
        <w:tab/>
      </w:r>
      <w:r w:rsidRPr="00BC5999">
        <w:tab/>
      </w:r>
      <w:r w:rsidRPr="00BC5999">
        <w:tab/>
      </w:r>
      <w:r w:rsidRPr="00BC5999">
        <w:tab/>
      </w:r>
      <w:r w:rsidR="00D077D1" w:rsidRPr="00BC5999">
        <w:t>page 3</w:t>
      </w:r>
    </w:p>
    <w:p w14:paraId="6D6B37DE" w14:textId="77777777" w:rsidR="00E96FD4" w:rsidRPr="00BC5999" w:rsidRDefault="00B804DF" w:rsidP="00BC5999">
      <w:pPr>
        <w:pStyle w:val="ContentsList"/>
      </w:pPr>
      <w:r w:rsidRPr="00BC5999">
        <w:t>Exam Board r</w:t>
      </w:r>
      <w:r w:rsidR="00520419" w:rsidRPr="00BC5999">
        <w:t>esponsibilities</w:t>
      </w:r>
      <w:r w:rsidR="00E96FD4" w:rsidRPr="00BC5999">
        <w:tab/>
      </w:r>
      <w:r w:rsidR="00E96FD4" w:rsidRPr="00BC5999">
        <w:tab/>
      </w:r>
      <w:r w:rsidR="00E96FD4" w:rsidRPr="00BC5999">
        <w:tab/>
      </w:r>
      <w:r w:rsidR="00E96FD4" w:rsidRPr="00BC5999">
        <w:tab/>
      </w:r>
      <w:r w:rsidR="00E96FD4" w:rsidRPr="00BC5999">
        <w:tab/>
      </w:r>
      <w:r w:rsidR="00E96FD4" w:rsidRPr="00BC5999">
        <w:tab/>
      </w:r>
      <w:r w:rsidR="00E96FD4" w:rsidRPr="00BC5999">
        <w:tab/>
      </w:r>
      <w:r w:rsidR="00086EBD" w:rsidRPr="00BC5999">
        <w:t>page 4</w:t>
      </w:r>
    </w:p>
    <w:p w14:paraId="454B2D45" w14:textId="77777777" w:rsidR="00E96FD4" w:rsidRPr="00BC5999" w:rsidRDefault="00B804DF" w:rsidP="00BC5999">
      <w:pPr>
        <w:pStyle w:val="ContentsList"/>
      </w:pPr>
      <w:r w:rsidRPr="00BC5999">
        <w:t>Field Board g</w:t>
      </w:r>
      <w:r w:rsidR="00520419" w:rsidRPr="00BC5999">
        <w:t>uidance</w:t>
      </w:r>
      <w:r w:rsidR="00CE1150" w:rsidRPr="00BC5999">
        <w:tab/>
      </w:r>
      <w:r w:rsidR="00CE1150" w:rsidRPr="00BC5999">
        <w:tab/>
      </w:r>
      <w:r w:rsidR="00CE1150" w:rsidRPr="00BC5999">
        <w:tab/>
      </w:r>
      <w:r w:rsidR="00CE1150" w:rsidRPr="00BC5999">
        <w:tab/>
      </w:r>
      <w:r w:rsidR="00CE1150" w:rsidRPr="00BC5999">
        <w:tab/>
      </w:r>
      <w:r w:rsidR="00CE1150" w:rsidRPr="00BC5999">
        <w:tab/>
      </w:r>
      <w:r w:rsidR="00CE1150" w:rsidRPr="00BC5999">
        <w:tab/>
      </w:r>
      <w:r w:rsidR="00A27EE7" w:rsidRPr="00BC5999">
        <w:tab/>
        <w:t>page 7</w:t>
      </w:r>
    </w:p>
    <w:p w14:paraId="70148003" w14:textId="77777777" w:rsidR="00E96FD4" w:rsidRPr="00BC5999" w:rsidRDefault="00B804DF" w:rsidP="00BC5999">
      <w:pPr>
        <w:pStyle w:val="ContentsList"/>
      </w:pPr>
      <w:r w:rsidRPr="00BC5999">
        <w:t>Award Board g</w:t>
      </w:r>
      <w:r w:rsidR="00520419" w:rsidRPr="00BC5999">
        <w:t>uidance</w:t>
      </w:r>
      <w:r w:rsidR="00E96FD4" w:rsidRPr="00BC5999">
        <w:tab/>
      </w:r>
      <w:r w:rsidR="00E96FD4" w:rsidRPr="00BC5999">
        <w:tab/>
      </w:r>
      <w:r w:rsidR="00E96FD4" w:rsidRPr="00BC5999">
        <w:tab/>
      </w:r>
      <w:r w:rsidR="00E96FD4" w:rsidRPr="00BC5999">
        <w:tab/>
      </w:r>
      <w:r w:rsidR="00E96FD4" w:rsidRPr="00BC5999">
        <w:tab/>
      </w:r>
      <w:r w:rsidR="00E96FD4" w:rsidRPr="00BC5999">
        <w:tab/>
      </w:r>
      <w:r w:rsidR="00E96FD4" w:rsidRPr="00BC5999">
        <w:tab/>
      </w:r>
      <w:r w:rsidR="00A27EE7" w:rsidRPr="00BC5999">
        <w:t>page 9</w:t>
      </w:r>
    </w:p>
    <w:p w14:paraId="5D7FEC06" w14:textId="77777777" w:rsidR="004B5E71" w:rsidRPr="00BC5999" w:rsidRDefault="004B5E71" w:rsidP="00BC5999">
      <w:pPr>
        <w:pStyle w:val="ContentsList"/>
      </w:pPr>
      <w:r w:rsidRPr="00BC5999">
        <w:t>Information for international partner boards</w:t>
      </w:r>
      <w:r w:rsidRPr="00BC5999">
        <w:tab/>
      </w:r>
      <w:r w:rsidRPr="00BC5999">
        <w:tab/>
      </w:r>
      <w:r w:rsidRPr="00BC5999">
        <w:tab/>
      </w:r>
      <w:r w:rsidRPr="00BC5999">
        <w:tab/>
      </w:r>
      <w:r w:rsidRPr="00BC5999">
        <w:tab/>
      </w:r>
      <w:r w:rsidR="00BA6578" w:rsidRPr="00BC5999">
        <w:t>page 10</w:t>
      </w:r>
    </w:p>
    <w:p w14:paraId="0F8E829E" w14:textId="77777777" w:rsidR="00E96FD4" w:rsidRPr="00BC5999" w:rsidRDefault="00B804DF" w:rsidP="00BC5999">
      <w:pPr>
        <w:pStyle w:val="ContentsList"/>
      </w:pPr>
      <w:r w:rsidRPr="00BC5999">
        <w:t xml:space="preserve">Award Board - </w:t>
      </w:r>
      <w:r w:rsidR="00520419" w:rsidRPr="00BC5999">
        <w:t>Retakes</w:t>
      </w:r>
      <w:r w:rsidR="00CE1150" w:rsidRPr="00BC5999">
        <w:tab/>
      </w:r>
      <w:r w:rsidR="0048251E" w:rsidRPr="00BC5999">
        <w:tab/>
      </w:r>
      <w:r w:rsidR="00CE1150" w:rsidRPr="00BC5999">
        <w:tab/>
      </w:r>
      <w:r w:rsidR="00CE1150" w:rsidRPr="00BC5999">
        <w:tab/>
      </w:r>
      <w:r w:rsidR="00CE1150" w:rsidRPr="00BC5999">
        <w:tab/>
      </w:r>
      <w:r w:rsidR="00CE1150" w:rsidRPr="00BC5999">
        <w:tab/>
      </w:r>
      <w:r w:rsidR="00CE1150" w:rsidRPr="00BC5999">
        <w:tab/>
      </w:r>
      <w:r w:rsidR="00BA6578" w:rsidRPr="00BC5999">
        <w:t>page 11</w:t>
      </w:r>
    </w:p>
    <w:p w14:paraId="6935921B" w14:textId="77777777" w:rsidR="00E96FD4" w:rsidRPr="00BC5999" w:rsidRDefault="00520419" w:rsidP="00BC5999">
      <w:pPr>
        <w:pStyle w:val="ContentsList"/>
      </w:pPr>
      <w:r w:rsidRPr="00BC5999">
        <w:t>Award Board - Borderlines</w:t>
      </w:r>
      <w:r w:rsidR="00E96FD4" w:rsidRPr="00BC5999">
        <w:tab/>
      </w:r>
      <w:r w:rsidR="00E96FD4" w:rsidRPr="00BC5999">
        <w:tab/>
      </w:r>
      <w:r w:rsidR="00E96FD4" w:rsidRPr="00BC5999">
        <w:tab/>
      </w:r>
      <w:r w:rsidR="00E96FD4" w:rsidRPr="00BC5999">
        <w:tab/>
      </w:r>
      <w:r w:rsidR="00E96FD4" w:rsidRPr="00BC5999">
        <w:tab/>
      </w:r>
      <w:r w:rsidR="00E96FD4" w:rsidRPr="00BC5999">
        <w:tab/>
      </w:r>
      <w:r w:rsidR="00E96FD4" w:rsidRPr="00BC5999">
        <w:tab/>
      </w:r>
      <w:r w:rsidR="00E7200F" w:rsidRPr="00BC5999">
        <w:t>page 12</w:t>
      </w:r>
    </w:p>
    <w:p w14:paraId="4733042E" w14:textId="50348288" w:rsidR="00B804DF" w:rsidRPr="00BC5999" w:rsidRDefault="00B804DF" w:rsidP="00BC5999">
      <w:pPr>
        <w:pStyle w:val="ContentsList"/>
      </w:pPr>
      <w:r w:rsidRPr="00BC5999">
        <w:t>Award Board – Masters differential awards</w:t>
      </w:r>
      <w:r w:rsidR="00A27EE7" w:rsidRPr="00BC5999">
        <w:tab/>
      </w:r>
      <w:r w:rsidR="00A27EE7" w:rsidRPr="00BC5999">
        <w:tab/>
      </w:r>
      <w:r w:rsidR="00A27EE7" w:rsidRPr="00BC5999">
        <w:tab/>
      </w:r>
      <w:r w:rsidR="00A27EE7" w:rsidRPr="00BC5999">
        <w:tab/>
      </w:r>
      <w:r w:rsidR="00A27EE7" w:rsidRPr="00BC5999">
        <w:tab/>
      </w:r>
      <w:r w:rsidR="00E7200F" w:rsidRPr="00BC5999">
        <w:t>page 14</w:t>
      </w:r>
    </w:p>
    <w:p w14:paraId="5AE57166" w14:textId="4EE0E406" w:rsidR="00E96FD4" w:rsidRPr="00BC5999" w:rsidRDefault="00520419" w:rsidP="00BC5999">
      <w:pPr>
        <w:pStyle w:val="ContentsList"/>
      </w:pPr>
      <w:r w:rsidRPr="00BC5999">
        <w:t xml:space="preserve">Award Board – </w:t>
      </w:r>
      <w:r w:rsidR="004170D5" w:rsidRPr="00BC5999">
        <w:t>Credit exemption (80% r</w:t>
      </w:r>
      <w:r w:rsidRPr="00BC5999">
        <w:t>ule</w:t>
      </w:r>
      <w:r w:rsidR="004170D5" w:rsidRPr="00BC5999">
        <w:t>)</w:t>
      </w:r>
      <w:r w:rsidR="00E96FD4" w:rsidRPr="00BC5999">
        <w:tab/>
      </w:r>
      <w:r w:rsidR="004170D5" w:rsidRPr="00BC5999">
        <w:tab/>
      </w:r>
      <w:r w:rsidR="00E96FD4" w:rsidRPr="00BC5999">
        <w:tab/>
      </w:r>
      <w:r w:rsidR="00E96FD4" w:rsidRPr="00BC5999">
        <w:tab/>
      </w:r>
      <w:r w:rsidR="00E96FD4" w:rsidRPr="00BC5999">
        <w:tab/>
      </w:r>
      <w:r w:rsidR="0075629A" w:rsidRPr="00BC5999">
        <w:t>page 15</w:t>
      </w:r>
    </w:p>
    <w:p w14:paraId="2F3C4254" w14:textId="030EB7ED" w:rsidR="00E96FD4" w:rsidRPr="00BC5999" w:rsidRDefault="004170D5" w:rsidP="00BC5999">
      <w:pPr>
        <w:pStyle w:val="ContentsList"/>
      </w:pPr>
      <w:r w:rsidRPr="00BC5999">
        <w:t>Award Board – Condoned c</w:t>
      </w:r>
      <w:r w:rsidR="00520419" w:rsidRPr="00BC5999">
        <w:t>redit</w:t>
      </w:r>
      <w:r w:rsidR="00CE1150" w:rsidRPr="00BC5999">
        <w:tab/>
      </w:r>
      <w:r w:rsidR="00CE1150" w:rsidRPr="00BC5999">
        <w:tab/>
      </w:r>
      <w:r w:rsidR="00CE1150" w:rsidRPr="00BC5999">
        <w:tab/>
      </w:r>
      <w:r w:rsidR="00CE1150" w:rsidRPr="00BC5999">
        <w:tab/>
      </w:r>
      <w:r w:rsidR="00CE1150" w:rsidRPr="00BC5999">
        <w:tab/>
      </w:r>
      <w:r w:rsidR="00CE1150" w:rsidRPr="00BC5999">
        <w:tab/>
      </w:r>
      <w:r w:rsidR="0075629A" w:rsidRPr="00BC5999">
        <w:t>page 17</w:t>
      </w:r>
    </w:p>
    <w:p w14:paraId="35C9560D" w14:textId="52CEC2DC" w:rsidR="00E96FD4" w:rsidRPr="00BC5999" w:rsidRDefault="00520419" w:rsidP="00BC5999">
      <w:pPr>
        <w:pStyle w:val="ContentsList"/>
      </w:pPr>
      <w:r w:rsidRPr="00BC5999">
        <w:t xml:space="preserve">Award Board – </w:t>
      </w:r>
      <w:r w:rsidR="00C30BBA" w:rsidRPr="00BC5999">
        <w:t>Personal circumstances</w:t>
      </w:r>
      <w:r w:rsidR="00CE1150" w:rsidRPr="00BC5999">
        <w:tab/>
      </w:r>
      <w:r w:rsidR="00CE1150" w:rsidRPr="00BC5999">
        <w:tab/>
      </w:r>
      <w:r w:rsidR="00CE1150" w:rsidRPr="00BC5999">
        <w:tab/>
      </w:r>
      <w:r w:rsidR="00CE1150" w:rsidRPr="00BC5999">
        <w:tab/>
      </w:r>
      <w:r w:rsidR="00CE1150" w:rsidRPr="00BC5999">
        <w:tab/>
      </w:r>
      <w:r w:rsidR="0075629A" w:rsidRPr="00BC5999">
        <w:t>page 21</w:t>
      </w:r>
    </w:p>
    <w:p w14:paraId="07F6F9C8" w14:textId="0D5DB2D8" w:rsidR="00FA263F" w:rsidRPr="00BC5999" w:rsidRDefault="00FA263F" w:rsidP="00BC5999">
      <w:pPr>
        <w:pStyle w:val="ContentsList"/>
      </w:pPr>
      <w:r w:rsidRPr="00BC5999">
        <w:t>Award B</w:t>
      </w:r>
      <w:r w:rsidR="004170D5" w:rsidRPr="00BC5999">
        <w:t>oard – Aegrotat and posthumous a</w:t>
      </w:r>
      <w:r w:rsidRPr="00BC5999">
        <w:t>wards</w:t>
      </w:r>
      <w:r w:rsidRPr="00BC5999">
        <w:tab/>
      </w:r>
      <w:r w:rsidRPr="00BC5999">
        <w:tab/>
      </w:r>
      <w:r w:rsidRPr="00BC5999">
        <w:tab/>
      </w:r>
      <w:r w:rsidRPr="00BC5999">
        <w:tab/>
        <w:t xml:space="preserve">page </w:t>
      </w:r>
      <w:r w:rsidR="0075629A" w:rsidRPr="00BC5999">
        <w:t>23</w:t>
      </w:r>
    </w:p>
    <w:p w14:paraId="28D924F4" w14:textId="282A37E5" w:rsidR="00E96FD4" w:rsidRPr="00BC5999" w:rsidRDefault="004170D5" w:rsidP="00BC5999">
      <w:pPr>
        <w:pStyle w:val="ContentsList"/>
      </w:pPr>
      <w:r w:rsidRPr="00BC5999">
        <w:t xml:space="preserve">Award Board – </w:t>
      </w:r>
      <w:r w:rsidR="00396134" w:rsidRPr="00BC5999">
        <w:t>Progression</w:t>
      </w:r>
      <w:r w:rsidR="00396134" w:rsidRPr="00BC5999">
        <w:tab/>
      </w:r>
      <w:r w:rsidR="00396134" w:rsidRPr="00BC5999">
        <w:tab/>
      </w:r>
      <w:r w:rsidR="00396134" w:rsidRPr="00BC5999">
        <w:tab/>
      </w:r>
      <w:r w:rsidR="00396134" w:rsidRPr="00BC5999">
        <w:tab/>
      </w:r>
      <w:r w:rsidR="00E96FD4" w:rsidRPr="00BC5999">
        <w:tab/>
      </w:r>
      <w:r w:rsidR="00E96FD4" w:rsidRPr="00BC5999">
        <w:tab/>
      </w:r>
      <w:r w:rsidR="00E96FD4" w:rsidRPr="00BC5999">
        <w:tab/>
      </w:r>
      <w:r w:rsidR="00086EBD" w:rsidRPr="00BC5999">
        <w:t>page 2</w:t>
      </w:r>
      <w:r w:rsidR="0075629A" w:rsidRPr="00BC5999">
        <w:t>4</w:t>
      </w:r>
    </w:p>
    <w:p w14:paraId="2D6B806E" w14:textId="7B907C4E" w:rsidR="0058047A" w:rsidRPr="00BC5999" w:rsidRDefault="004170D5" w:rsidP="00BC5999">
      <w:pPr>
        <w:pStyle w:val="ContentsList"/>
      </w:pPr>
      <w:r w:rsidRPr="00BC5999">
        <w:t xml:space="preserve">Award Board - </w:t>
      </w:r>
      <w:r w:rsidR="00086EBD" w:rsidRPr="00BC5999">
        <w:t>Reconvened Boards</w:t>
      </w:r>
      <w:r w:rsidR="00E96FD4" w:rsidRPr="00BC5999">
        <w:tab/>
      </w:r>
      <w:r w:rsidR="00E96FD4" w:rsidRPr="00BC5999">
        <w:tab/>
      </w:r>
      <w:r w:rsidR="00E96FD4" w:rsidRPr="00BC5999">
        <w:tab/>
      </w:r>
      <w:r w:rsidR="00E96FD4" w:rsidRPr="00BC5999">
        <w:tab/>
      </w:r>
      <w:r w:rsidR="00E96FD4" w:rsidRPr="00BC5999">
        <w:tab/>
      </w:r>
      <w:r w:rsidR="00E96FD4" w:rsidRPr="00BC5999">
        <w:tab/>
      </w:r>
      <w:r w:rsidR="0075629A" w:rsidRPr="00BC5999">
        <w:t>page 25</w:t>
      </w:r>
    </w:p>
    <w:p w14:paraId="102AC2FF" w14:textId="653E53B4" w:rsidR="0048251E" w:rsidRPr="00BC5999" w:rsidRDefault="004170D5" w:rsidP="00BC5999">
      <w:pPr>
        <w:pStyle w:val="ContentsList"/>
      </w:pPr>
      <w:r w:rsidRPr="00BC5999">
        <w:t xml:space="preserve">Award Board </w:t>
      </w:r>
      <w:r w:rsidR="00B41036" w:rsidRPr="00BC5999">
        <w:t>–</w:t>
      </w:r>
      <w:r w:rsidRPr="00BC5999">
        <w:t xml:space="preserve"> Accredited</w:t>
      </w:r>
      <w:r w:rsidR="00B41036" w:rsidRPr="00BC5999">
        <w:t xml:space="preserve"> prior</w:t>
      </w:r>
      <w:r w:rsidRPr="00BC5999">
        <w:t xml:space="preserve"> learning </w:t>
      </w:r>
      <w:r w:rsidR="00B41036" w:rsidRPr="00BC5999">
        <w:t>/</w:t>
      </w:r>
      <w:r w:rsidRPr="00BC5999">
        <w:t xml:space="preserve"> a</w:t>
      </w:r>
      <w:r w:rsidR="0048251E" w:rsidRPr="00BC5999">
        <w:t>cc</w:t>
      </w:r>
      <w:r w:rsidRPr="00BC5999">
        <w:t>redited experiential learning</w:t>
      </w:r>
      <w:r w:rsidRPr="00BC5999">
        <w:tab/>
      </w:r>
      <w:r w:rsidR="0048251E" w:rsidRPr="00BC5999">
        <w:t xml:space="preserve">Page </w:t>
      </w:r>
      <w:r w:rsidR="0075629A" w:rsidRPr="00BC5999">
        <w:t>26</w:t>
      </w:r>
    </w:p>
    <w:p w14:paraId="53876B9B" w14:textId="7CE295C5" w:rsidR="00086EBD" w:rsidRPr="00BC5999" w:rsidRDefault="004170D5" w:rsidP="00BC5999">
      <w:pPr>
        <w:pStyle w:val="ContentsList"/>
      </w:pPr>
      <w:r w:rsidRPr="00BC5999">
        <w:t xml:space="preserve">Award Board - </w:t>
      </w:r>
      <w:r w:rsidR="00086EBD" w:rsidRPr="00BC5999">
        <w:t>Award Board Reports</w:t>
      </w:r>
      <w:r w:rsidR="00086EBD" w:rsidRPr="00BC5999">
        <w:tab/>
      </w:r>
      <w:r w:rsidR="00086EBD" w:rsidRPr="00BC5999">
        <w:tab/>
      </w:r>
      <w:r w:rsidR="00086EBD" w:rsidRPr="00BC5999">
        <w:tab/>
      </w:r>
      <w:r w:rsidR="00086EBD" w:rsidRPr="00BC5999">
        <w:tab/>
      </w:r>
      <w:r w:rsidR="00086EBD" w:rsidRPr="00BC5999">
        <w:tab/>
      </w:r>
      <w:r w:rsidR="00086EBD" w:rsidRPr="00BC5999">
        <w:tab/>
      </w:r>
      <w:r w:rsidR="0075629A" w:rsidRPr="00BC5999">
        <w:t>page 27</w:t>
      </w:r>
    </w:p>
    <w:p w14:paraId="0D37F147" w14:textId="6AADFD19" w:rsidR="00086EBD" w:rsidRDefault="004170D5" w:rsidP="00BC5999">
      <w:pPr>
        <w:pStyle w:val="ContentsList"/>
      </w:pPr>
      <w:r w:rsidRPr="00BC5999">
        <w:t>Award Board - Failed awards administrative g</w:t>
      </w:r>
      <w:r w:rsidR="00086EBD" w:rsidRPr="00BC5999">
        <w:t>uidance</w:t>
      </w:r>
      <w:r w:rsidR="00086EBD" w:rsidRPr="00BC5999">
        <w:tab/>
      </w:r>
      <w:r w:rsidR="00086EBD" w:rsidRPr="00BC5999">
        <w:tab/>
      </w:r>
      <w:r w:rsidR="00086EBD" w:rsidRPr="00BC5999">
        <w:tab/>
      </w:r>
      <w:r w:rsidR="00EF3C6E" w:rsidRPr="00BC5999">
        <w:t>p</w:t>
      </w:r>
      <w:r w:rsidR="0075629A" w:rsidRPr="00BC5999">
        <w:t>age 32</w:t>
      </w:r>
    </w:p>
    <w:p w14:paraId="2C18D646" w14:textId="1B1513A5" w:rsidR="00C56F26" w:rsidRDefault="00C56F26" w:rsidP="00BC0DD5">
      <w:pPr>
        <w:pStyle w:val="ContentsList"/>
        <w:rPr>
          <w:b/>
          <w:color w:val="FFFFFF" w:themeColor="background1"/>
          <w:sz w:val="28"/>
          <w:szCs w:val="28"/>
        </w:rPr>
      </w:pPr>
      <w:bookmarkStart w:id="1" w:name="_Toc420923446"/>
      <w:r>
        <w:rPr>
          <w:b/>
          <w:color w:val="FFFFFF" w:themeColor="background1"/>
          <w:sz w:val="28"/>
          <w:szCs w:val="28"/>
        </w:rPr>
        <w:br w:type="page"/>
      </w:r>
    </w:p>
    <w:p w14:paraId="4FE1127F" w14:textId="77777777" w:rsidR="00B94E0D" w:rsidRPr="0074652A" w:rsidRDefault="00B94E0D" w:rsidP="00B94E0D">
      <w:pPr>
        <w:shd w:val="clear" w:color="auto" w:fill="A6A6A6" w:themeFill="background1" w:themeFillShade="A6"/>
        <w:rPr>
          <w:b/>
          <w:color w:val="FFFFFF" w:themeColor="background1"/>
          <w:sz w:val="28"/>
          <w:szCs w:val="28"/>
        </w:rPr>
      </w:pPr>
      <w:r w:rsidRPr="0074652A">
        <w:rPr>
          <w:b/>
          <w:color w:val="FFFFFF" w:themeColor="background1"/>
          <w:sz w:val="28"/>
          <w:szCs w:val="28"/>
        </w:rPr>
        <w:lastRenderedPageBreak/>
        <w:t>INTRODUCTION</w:t>
      </w:r>
    </w:p>
    <w:bookmarkEnd w:id="1"/>
    <w:p w14:paraId="088F6E87" w14:textId="77777777" w:rsidR="00B94E0D" w:rsidRPr="00D32EC6" w:rsidRDefault="00B94E0D" w:rsidP="00B94E0D"/>
    <w:p w14:paraId="018FE319" w14:textId="51687FFF" w:rsidR="00ED5004" w:rsidRPr="000141BF" w:rsidRDefault="00B94E0D" w:rsidP="000141BF">
      <w:pPr>
        <w:pStyle w:val="MainText"/>
      </w:pPr>
      <w:r w:rsidRPr="000141BF">
        <w:t>This set of guidance is designed to assist examining b</w:t>
      </w:r>
      <w:r w:rsidR="000141BF" w:rsidRPr="000141BF">
        <w:t xml:space="preserve">oard personnel with the </w:t>
      </w:r>
      <w:r w:rsidRPr="000141BF">
        <w:t xml:space="preserve">conduct of, and decision making processes </w:t>
      </w:r>
      <w:r w:rsidR="00D37D03" w:rsidRPr="000141BF">
        <w:t>for</w:t>
      </w:r>
      <w:r w:rsidRPr="000141BF">
        <w:t xml:space="preserve"> Field and Award Boards convened </w:t>
      </w:r>
      <w:r w:rsidR="00057080" w:rsidRPr="000141BF">
        <w:t xml:space="preserve">during the </w:t>
      </w:r>
      <w:r w:rsidR="004B5E71">
        <w:t>201</w:t>
      </w:r>
      <w:r w:rsidR="00A06C15">
        <w:t>9</w:t>
      </w:r>
      <w:r w:rsidR="004B5E71">
        <w:t>/20</w:t>
      </w:r>
      <w:r w:rsidR="00A06C15">
        <w:t>20</w:t>
      </w:r>
      <w:r w:rsidRPr="000141BF">
        <w:t xml:space="preserve"> academic year.</w:t>
      </w:r>
      <w:r w:rsidR="00ED5004" w:rsidRPr="000141BF">
        <w:t xml:space="preserve"> </w:t>
      </w:r>
    </w:p>
    <w:p w14:paraId="0807F673" w14:textId="77777777" w:rsidR="000141BF" w:rsidRDefault="000141BF" w:rsidP="00772D22">
      <w:pPr>
        <w:pStyle w:val="Bulletpointstyle"/>
        <w:numPr>
          <w:ilvl w:val="0"/>
          <w:numId w:val="0"/>
        </w:numPr>
        <w:ind w:left="227"/>
      </w:pPr>
    </w:p>
    <w:p w14:paraId="34864E61" w14:textId="0BC187E8" w:rsidR="002A7181" w:rsidRPr="00315F07" w:rsidRDefault="00B94E0D" w:rsidP="00CD1269">
      <w:pPr>
        <w:pStyle w:val="Bulletpointstyle"/>
      </w:pPr>
      <w:r w:rsidRPr="00315F07">
        <w:t xml:space="preserve">Boards are reminded </w:t>
      </w:r>
      <w:r w:rsidR="00057080" w:rsidRPr="00315F07">
        <w:t xml:space="preserve">that these guidelines should be applied in line with the </w:t>
      </w:r>
      <w:r w:rsidR="007C040A" w:rsidRPr="00315F07">
        <w:t>Academic Regulations and Pro</w:t>
      </w:r>
      <w:r w:rsidR="00057080" w:rsidRPr="00315F07">
        <w:t xml:space="preserve">cedures </w:t>
      </w:r>
      <w:r w:rsidR="005727B4" w:rsidRPr="00315F07">
        <w:t>201</w:t>
      </w:r>
      <w:r w:rsidR="00A06C15" w:rsidRPr="00315F07">
        <w:t>9</w:t>
      </w:r>
      <w:r w:rsidR="004B5E71" w:rsidRPr="00315F07">
        <w:t>/20</w:t>
      </w:r>
      <w:r w:rsidR="00A06C15" w:rsidRPr="00315F07">
        <w:t>20</w:t>
      </w:r>
      <w:r w:rsidR="00057080" w:rsidRPr="00315F07">
        <w:t xml:space="preserve">. </w:t>
      </w:r>
    </w:p>
    <w:p w14:paraId="1F79B1D9" w14:textId="77777777" w:rsidR="000141BF" w:rsidRDefault="000141BF" w:rsidP="000141BF">
      <w:pPr>
        <w:pStyle w:val="Bulletpointstyle"/>
        <w:numPr>
          <w:ilvl w:val="0"/>
          <w:numId w:val="0"/>
        </w:numPr>
        <w:ind w:left="227" w:hanging="227"/>
      </w:pPr>
    </w:p>
    <w:p w14:paraId="1AA8A26C" w14:textId="77777777" w:rsidR="00B94E0D" w:rsidRDefault="00B94E0D" w:rsidP="00CD1269">
      <w:pPr>
        <w:pStyle w:val="Bulletpointstyle"/>
        <w:numPr>
          <w:ilvl w:val="0"/>
          <w:numId w:val="0"/>
        </w:numPr>
      </w:pPr>
      <w:r w:rsidRPr="0084329A">
        <w:t>Any queries regarding the UWE regulations</w:t>
      </w:r>
      <w:r w:rsidR="000141BF">
        <w:t xml:space="preserve"> in relation to the conduct of </w:t>
      </w:r>
      <w:r w:rsidRPr="0084329A">
        <w:t xml:space="preserve">examining boards, or the content of this guidance should contact </w:t>
      </w:r>
      <w:r w:rsidR="00D44520">
        <w:t>the Academic Frameworks Development Team</w:t>
      </w:r>
      <w:r w:rsidR="00D37D03">
        <w:t xml:space="preserve">: </w:t>
      </w:r>
      <w:r w:rsidR="00D44520">
        <w:t>Academic.Regulations@uwe.ac.uk</w:t>
      </w:r>
    </w:p>
    <w:p w14:paraId="526BB721" w14:textId="77777777" w:rsidR="004D7BE7" w:rsidRDefault="004D7BE7" w:rsidP="00CD1269">
      <w:pPr>
        <w:pStyle w:val="Bulletpointstyle"/>
        <w:numPr>
          <w:ilvl w:val="0"/>
          <w:numId w:val="0"/>
        </w:numPr>
        <w:ind w:left="227"/>
      </w:pPr>
    </w:p>
    <w:p w14:paraId="095D3D6D" w14:textId="7D94AF35" w:rsidR="00B94E0D" w:rsidRDefault="00E30111" w:rsidP="00CD1269">
      <w:pPr>
        <w:pStyle w:val="Bulletpointstyle"/>
        <w:numPr>
          <w:ilvl w:val="0"/>
          <w:numId w:val="0"/>
        </w:numPr>
      </w:pPr>
      <w:r>
        <w:t xml:space="preserve">Student and </w:t>
      </w:r>
      <w:r w:rsidR="00B94E0D" w:rsidRPr="00814DEF">
        <w:t xml:space="preserve">Academic Services, </w:t>
      </w:r>
      <w:r w:rsidR="00A06C15">
        <w:t>February</w:t>
      </w:r>
      <w:r w:rsidR="00381EF4">
        <w:t xml:space="preserve"> </w:t>
      </w:r>
      <w:r w:rsidR="004B5E71">
        <w:t>20</w:t>
      </w:r>
      <w:r w:rsidR="00A06C15">
        <w:t>20</w:t>
      </w:r>
    </w:p>
    <w:p w14:paraId="590A44E1" w14:textId="77777777" w:rsidR="00057080" w:rsidRDefault="00057080" w:rsidP="0084329A">
      <w:pPr>
        <w:pStyle w:val="MainText"/>
      </w:pPr>
    </w:p>
    <w:p w14:paraId="7A01541C" w14:textId="77777777" w:rsidR="00D02A0C" w:rsidRPr="00D02A0C" w:rsidRDefault="00D02A0C" w:rsidP="00D02A0C">
      <w:pPr>
        <w:pStyle w:val="MainText"/>
        <w:rPr>
          <w:highlight w:val="yellow"/>
        </w:rPr>
      </w:pPr>
    </w:p>
    <w:p w14:paraId="2004B75A" w14:textId="77777777" w:rsidR="00057080" w:rsidRDefault="00057080" w:rsidP="0084329A">
      <w:pPr>
        <w:pStyle w:val="MainText"/>
      </w:pPr>
    </w:p>
    <w:p w14:paraId="6FFAB0DD" w14:textId="77777777" w:rsidR="00057080" w:rsidRDefault="00057080" w:rsidP="0084329A">
      <w:pPr>
        <w:pStyle w:val="MainText"/>
      </w:pPr>
    </w:p>
    <w:p w14:paraId="7F5FFED3" w14:textId="77777777" w:rsidR="00057080" w:rsidRDefault="00057080" w:rsidP="0084329A">
      <w:pPr>
        <w:pStyle w:val="MainText"/>
      </w:pPr>
    </w:p>
    <w:p w14:paraId="20BFDE43" w14:textId="77777777" w:rsidR="00057080" w:rsidRDefault="00057080" w:rsidP="0084329A">
      <w:pPr>
        <w:pStyle w:val="MainText"/>
      </w:pPr>
    </w:p>
    <w:p w14:paraId="7BBE82AF" w14:textId="77777777" w:rsidR="00057080" w:rsidRDefault="00057080" w:rsidP="0084329A">
      <w:pPr>
        <w:pStyle w:val="MainText"/>
      </w:pPr>
    </w:p>
    <w:p w14:paraId="56A86550" w14:textId="77777777" w:rsidR="00057080" w:rsidRDefault="00057080" w:rsidP="0084329A">
      <w:pPr>
        <w:pStyle w:val="MainText"/>
      </w:pPr>
    </w:p>
    <w:p w14:paraId="1543A414" w14:textId="77777777" w:rsidR="00057080" w:rsidRDefault="00057080" w:rsidP="0084329A">
      <w:pPr>
        <w:pStyle w:val="MainText"/>
      </w:pPr>
    </w:p>
    <w:p w14:paraId="5EFA49F6" w14:textId="77777777" w:rsidR="00057080" w:rsidRDefault="00057080" w:rsidP="0084329A">
      <w:pPr>
        <w:pStyle w:val="MainText"/>
      </w:pPr>
    </w:p>
    <w:p w14:paraId="42F45322" w14:textId="77777777" w:rsidR="00057080" w:rsidRDefault="00057080" w:rsidP="0084329A">
      <w:pPr>
        <w:pStyle w:val="MainText"/>
      </w:pPr>
    </w:p>
    <w:p w14:paraId="3226275A" w14:textId="77777777" w:rsidR="00057080" w:rsidRDefault="00057080" w:rsidP="0084329A">
      <w:pPr>
        <w:pStyle w:val="MainText"/>
      </w:pPr>
    </w:p>
    <w:p w14:paraId="7CC08607" w14:textId="77777777" w:rsidR="00057080" w:rsidRDefault="00057080" w:rsidP="0084329A">
      <w:pPr>
        <w:pStyle w:val="MainText"/>
      </w:pPr>
    </w:p>
    <w:p w14:paraId="00E2AEB0" w14:textId="77777777" w:rsidR="00057080" w:rsidRDefault="00057080" w:rsidP="0084329A">
      <w:pPr>
        <w:pStyle w:val="MainText"/>
      </w:pPr>
    </w:p>
    <w:p w14:paraId="13543808" w14:textId="77777777" w:rsidR="00057080" w:rsidRDefault="00057080" w:rsidP="0084329A">
      <w:pPr>
        <w:pStyle w:val="MainText"/>
      </w:pPr>
    </w:p>
    <w:p w14:paraId="20F65730" w14:textId="77777777" w:rsidR="00D37D03" w:rsidRDefault="00D37D03" w:rsidP="0084329A">
      <w:pPr>
        <w:pStyle w:val="MainText"/>
      </w:pPr>
    </w:p>
    <w:p w14:paraId="257B87F8" w14:textId="77777777" w:rsidR="00D37D03" w:rsidRDefault="00D37D03" w:rsidP="0084329A">
      <w:pPr>
        <w:pStyle w:val="MainText"/>
      </w:pPr>
    </w:p>
    <w:p w14:paraId="0F1C07C8" w14:textId="77777777" w:rsidR="00D37D03" w:rsidRDefault="00D37D03" w:rsidP="0084329A">
      <w:pPr>
        <w:pStyle w:val="MainText"/>
      </w:pPr>
    </w:p>
    <w:p w14:paraId="416334D9" w14:textId="77777777" w:rsidR="00D37D03" w:rsidRDefault="00D37D03" w:rsidP="0084329A">
      <w:pPr>
        <w:pStyle w:val="MainText"/>
      </w:pPr>
    </w:p>
    <w:p w14:paraId="15EF38F9" w14:textId="77777777" w:rsidR="00D37D03" w:rsidRDefault="00D37D03" w:rsidP="0084329A">
      <w:pPr>
        <w:pStyle w:val="MainText"/>
      </w:pPr>
    </w:p>
    <w:p w14:paraId="156952DF" w14:textId="77777777" w:rsidR="009B301E" w:rsidRDefault="009B301E">
      <w:pPr>
        <w:rPr>
          <w:rFonts w:cs="Tahoma"/>
          <w:szCs w:val="22"/>
        </w:rPr>
      </w:pPr>
      <w:r>
        <w:br w:type="page"/>
      </w:r>
    </w:p>
    <w:p w14:paraId="049CE126" w14:textId="77777777" w:rsidR="00B94E0D" w:rsidRPr="008F2F2E" w:rsidRDefault="00B94E0D" w:rsidP="00906E81">
      <w:pPr>
        <w:shd w:val="clear" w:color="auto" w:fill="5E9C68"/>
        <w:spacing w:line="360" w:lineRule="auto"/>
        <w:rPr>
          <w:b/>
          <w:color w:val="FFFFFF" w:themeColor="background1"/>
          <w:sz w:val="28"/>
          <w:szCs w:val="28"/>
        </w:rPr>
      </w:pPr>
      <w:bookmarkStart w:id="2" w:name="_Toc420923448"/>
      <w:r w:rsidRPr="008F2F2E">
        <w:rPr>
          <w:b/>
          <w:color w:val="FFFFFF" w:themeColor="background1"/>
          <w:sz w:val="28"/>
          <w:szCs w:val="28"/>
        </w:rPr>
        <w:lastRenderedPageBreak/>
        <w:t>EXAM BOARD RESPONSIBILITIES</w:t>
      </w:r>
    </w:p>
    <w:bookmarkEnd w:id="2"/>
    <w:p w14:paraId="117621C2" w14:textId="77777777" w:rsidR="00B94E0D" w:rsidRPr="00FB5D1F" w:rsidRDefault="00B94E0D" w:rsidP="00B94E0D"/>
    <w:p w14:paraId="7BF9D6BB" w14:textId="6E2C4F7C" w:rsidR="00B94E0D" w:rsidRDefault="002C575F" w:rsidP="0084329A">
      <w:pPr>
        <w:pStyle w:val="MainText"/>
      </w:pPr>
      <w:r w:rsidRPr="00315F07">
        <w:t>Part</w:t>
      </w:r>
      <w:r>
        <w:rPr>
          <w:b/>
        </w:rPr>
        <w:t xml:space="preserve"> A6</w:t>
      </w:r>
      <w:r w:rsidR="00EC088D">
        <w:rPr>
          <w:b/>
        </w:rPr>
        <w:t xml:space="preserve"> </w:t>
      </w:r>
      <w:r w:rsidRPr="00C502E3">
        <w:t xml:space="preserve">of the academic regulations and the </w:t>
      </w:r>
      <w:hyperlink r:id="rId15" w:history="1">
        <w:r w:rsidR="0093240A" w:rsidRPr="00C502E3">
          <w:rPr>
            <w:rStyle w:val="Hyperlink"/>
            <w:rFonts w:cs="Tahoma"/>
          </w:rPr>
          <w:t>The Examining Board Code of Practice</w:t>
        </w:r>
      </w:hyperlink>
      <w:r w:rsidR="00B94E0D" w:rsidRPr="002227C3">
        <w:t xml:space="preserve"> set out the full details of the operation and membership of</w:t>
      </w:r>
      <w:r w:rsidR="00B94E0D">
        <w:t xml:space="preserve"> </w:t>
      </w:r>
      <w:r w:rsidR="00246332">
        <w:t xml:space="preserve">examining boards. </w:t>
      </w:r>
      <w:r w:rsidR="00B94E0D" w:rsidRPr="000407E9">
        <w:t>Examining board members should pay particular attention to the following:</w:t>
      </w:r>
    </w:p>
    <w:p w14:paraId="3AAFBA2C" w14:textId="77777777" w:rsidR="00B94E0D" w:rsidRPr="000407E9" w:rsidRDefault="00B94E0D" w:rsidP="009B301E">
      <w:pPr>
        <w:pStyle w:val="Subtitle"/>
      </w:pPr>
      <w:r w:rsidRPr="000407E9">
        <w:t>Accountability</w:t>
      </w:r>
    </w:p>
    <w:p w14:paraId="0285F5BE" w14:textId="77777777" w:rsidR="00B94E0D" w:rsidRDefault="00B85779" w:rsidP="0084329A">
      <w:pPr>
        <w:pStyle w:val="MainText"/>
      </w:pPr>
      <w:r>
        <w:rPr>
          <w:b/>
        </w:rPr>
        <w:t>A</w:t>
      </w:r>
      <w:r w:rsidR="002C575F">
        <w:rPr>
          <w:b/>
        </w:rPr>
        <w:t xml:space="preserve">6 </w:t>
      </w:r>
      <w:r w:rsidR="00B94E0D" w:rsidRPr="000407E9">
        <w:t xml:space="preserve">The examining board is the sole body which may act on behalf of Academic Board in </w:t>
      </w:r>
      <w:r w:rsidR="002C575F">
        <w:t>awarding credit</w:t>
      </w:r>
      <w:r w:rsidR="00B94E0D" w:rsidRPr="000407E9">
        <w:t>, granting an award or amending a properly executed decision.</w:t>
      </w:r>
    </w:p>
    <w:p w14:paraId="68311FA3" w14:textId="77777777" w:rsidR="00D01283" w:rsidRPr="00246332" w:rsidRDefault="00D01283" w:rsidP="00D01283">
      <w:pPr>
        <w:pStyle w:val="Subtitle"/>
      </w:pPr>
      <w:r w:rsidRPr="00246332">
        <w:t>Membership</w:t>
      </w:r>
    </w:p>
    <w:p w14:paraId="3F97911A" w14:textId="40C112E7" w:rsidR="00D01283" w:rsidRDefault="00D01283" w:rsidP="00D01283">
      <w:pPr>
        <w:pStyle w:val="MainText"/>
      </w:pPr>
      <w:r w:rsidRPr="000407E9">
        <w:t xml:space="preserve">All members of the examining board should attend meetings of the board. In exceptional circumstances and by prior agreement from the </w:t>
      </w:r>
      <w:r w:rsidR="001105CA">
        <w:t>Chair</w:t>
      </w:r>
      <w:r w:rsidRPr="000407E9">
        <w:t xml:space="preserve"> a nominee may act as a representative.</w:t>
      </w:r>
      <w:r>
        <w:t xml:space="preserve"> </w:t>
      </w:r>
      <w:r w:rsidRPr="000407E9">
        <w:t>Members may nominate a colleague to attend in their place provided that person is able to fully participate in the business of the board with regard to the module/s</w:t>
      </w:r>
      <w:r w:rsidR="00381EF4">
        <w:t>,</w:t>
      </w:r>
      <w:r w:rsidRPr="000407E9">
        <w:t xml:space="preserve"> award/s they are representing.</w:t>
      </w:r>
    </w:p>
    <w:p w14:paraId="34A6579B" w14:textId="77777777" w:rsidR="00D01283" w:rsidRDefault="00D01283" w:rsidP="00D01283">
      <w:pPr>
        <w:pStyle w:val="MainText"/>
      </w:pPr>
    </w:p>
    <w:p w14:paraId="5DFE4D5E" w14:textId="77777777" w:rsidR="00B94E0D" w:rsidRPr="00A10796" w:rsidRDefault="00B94E0D" w:rsidP="009B301E">
      <w:pPr>
        <w:pStyle w:val="Subtitle"/>
      </w:pPr>
      <w:r w:rsidRPr="00A10796">
        <w:t>Quora</w:t>
      </w:r>
      <w:r w:rsidR="009B301E" w:rsidRPr="00A10796">
        <w:t>c</w:t>
      </w:r>
      <w:r w:rsidRPr="00A10796">
        <w:t>y</w:t>
      </w:r>
    </w:p>
    <w:p w14:paraId="7FEAE922" w14:textId="77777777" w:rsidR="00B94E0D" w:rsidRDefault="00B94E0D" w:rsidP="0084329A">
      <w:pPr>
        <w:pStyle w:val="MainText"/>
      </w:pPr>
      <w:r w:rsidRPr="00A10796">
        <w:t>An examining board meeting is quorate if at least two-thirds of the members eligible to attend are present.</w:t>
      </w:r>
    </w:p>
    <w:p w14:paraId="71FEC352" w14:textId="77777777" w:rsidR="009F0422" w:rsidRDefault="009F0422" w:rsidP="0084329A">
      <w:pPr>
        <w:pStyle w:val="MainText"/>
      </w:pPr>
    </w:p>
    <w:p w14:paraId="5598184C" w14:textId="570A401D" w:rsidR="009F0422" w:rsidRDefault="009F0422" w:rsidP="00215FD2">
      <w:pPr>
        <w:pStyle w:val="MainText"/>
      </w:pPr>
      <w:r>
        <w:rPr>
          <w:color w:val="000000" w:themeColor="text1"/>
        </w:rPr>
        <w:t>When a Field B</w:t>
      </w:r>
      <w:r w:rsidRPr="004A3558">
        <w:rPr>
          <w:color w:val="000000" w:themeColor="text1"/>
        </w:rPr>
        <w:t>oard is considering results for</w:t>
      </w:r>
      <w:r w:rsidR="00DA276F">
        <w:rPr>
          <w:color w:val="000000" w:themeColor="text1"/>
        </w:rPr>
        <w:t xml:space="preserve"> the resit of a module, if the Module L</w:t>
      </w:r>
      <w:r w:rsidRPr="004A3558">
        <w:rPr>
          <w:color w:val="000000" w:themeColor="text1"/>
        </w:rPr>
        <w:t>eader has already confirmed the marks in writing and there are no other issues for discussion then a</w:t>
      </w:r>
      <w:r>
        <w:rPr>
          <w:color w:val="000000" w:themeColor="text1"/>
        </w:rPr>
        <w:t xml:space="preserve">t the discretion of the </w:t>
      </w:r>
      <w:r w:rsidR="001105CA">
        <w:rPr>
          <w:color w:val="000000" w:themeColor="text1"/>
        </w:rPr>
        <w:t>Chair</w:t>
      </w:r>
      <w:r w:rsidRPr="004A3558">
        <w:rPr>
          <w:color w:val="000000" w:themeColor="text1"/>
        </w:rPr>
        <w:t>, they are not required to attend the board.</w:t>
      </w:r>
      <w:r w:rsidRPr="009F0422">
        <w:t xml:space="preserve"> </w:t>
      </w:r>
    </w:p>
    <w:p w14:paraId="46E91106" w14:textId="77777777" w:rsidR="009F0422" w:rsidRDefault="009F0422" w:rsidP="00215FD2">
      <w:pPr>
        <w:pStyle w:val="MainText"/>
      </w:pPr>
    </w:p>
    <w:p w14:paraId="763EDEDB" w14:textId="77777777" w:rsidR="009F0422" w:rsidRDefault="00DA276F" w:rsidP="00215FD2">
      <w:pPr>
        <w:pStyle w:val="MainText"/>
      </w:pPr>
      <w:r>
        <w:t>The</w:t>
      </w:r>
      <w:r w:rsidR="009F0422" w:rsidRPr="009F0422">
        <w:t xml:space="preserve"> Module Leader should </w:t>
      </w:r>
      <w:r>
        <w:t>then give their apologies to</w:t>
      </w:r>
      <w:r w:rsidR="009F0422" w:rsidRPr="009F0422">
        <w:t xml:space="preserve"> the relevant team in advance of the meeting. </w:t>
      </w:r>
    </w:p>
    <w:p w14:paraId="64F862EE" w14:textId="77777777" w:rsidR="009F0422" w:rsidRDefault="009F0422" w:rsidP="00215FD2">
      <w:pPr>
        <w:pStyle w:val="MainText"/>
      </w:pPr>
    </w:p>
    <w:p w14:paraId="27F8298A" w14:textId="77777777" w:rsidR="009F0422" w:rsidRDefault="009F0422" w:rsidP="00215FD2">
      <w:pPr>
        <w:pStyle w:val="MainText"/>
      </w:pPr>
      <w:r>
        <w:t xml:space="preserve">The two-thirds requirement </w:t>
      </w:r>
      <w:r w:rsidR="00DA276F">
        <w:t>for quo</w:t>
      </w:r>
      <w:r>
        <w:t>racy must be maintained. However,</w:t>
      </w:r>
      <w:r w:rsidRPr="009F0422">
        <w:t xml:space="preserve"> </w:t>
      </w:r>
      <w:r w:rsidR="00DA276F">
        <w:t xml:space="preserve">in this scenario </w:t>
      </w:r>
      <w:r w:rsidR="00DA276F" w:rsidRPr="00DA276F">
        <w:rPr>
          <w:b/>
        </w:rPr>
        <w:t>only</w:t>
      </w:r>
      <w:r w:rsidR="00FC3ECC" w:rsidRPr="00F26440">
        <w:t>,</w:t>
      </w:r>
      <w:r w:rsidR="00DA276F">
        <w:t xml:space="preserve"> </w:t>
      </w:r>
      <w:r>
        <w:t>the Module Leader</w:t>
      </w:r>
      <w:r w:rsidRPr="009F0422">
        <w:t xml:space="preserve"> is re</w:t>
      </w:r>
      <w:r>
        <w:t xml:space="preserve">moved from the overall quoracy for </w:t>
      </w:r>
      <w:r w:rsidR="00DA276F">
        <w:t>the</w:t>
      </w:r>
      <w:r>
        <w:t xml:space="preserve"> meeting</w:t>
      </w:r>
      <w:r w:rsidR="00DA276F">
        <w:t>.</w:t>
      </w:r>
    </w:p>
    <w:p w14:paraId="765E6E3E" w14:textId="77777777" w:rsidR="009F0422" w:rsidRDefault="009F0422" w:rsidP="00215FD2">
      <w:pPr>
        <w:pStyle w:val="MainText"/>
      </w:pPr>
    </w:p>
    <w:p w14:paraId="1FB83BEF" w14:textId="77777777" w:rsidR="001B10B2" w:rsidRDefault="009F0422" w:rsidP="00215FD2">
      <w:pPr>
        <w:pStyle w:val="MainText"/>
      </w:pPr>
      <w:r w:rsidRPr="009F0422">
        <w:rPr>
          <w:b/>
        </w:rPr>
        <w:t>For example</w:t>
      </w:r>
      <w:r>
        <w:t xml:space="preserve">: </w:t>
      </w:r>
    </w:p>
    <w:p w14:paraId="79DFF997" w14:textId="26D05603" w:rsidR="001B10B2" w:rsidRDefault="009F0422" w:rsidP="00215FD2">
      <w:pPr>
        <w:pStyle w:val="Bulletpointstyle"/>
      </w:pPr>
      <w:r>
        <w:t xml:space="preserve">A resit Field Board has </w:t>
      </w:r>
      <w:r w:rsidRPr="009F0422">
        <w:t>20 members ove</w:t>
      </w:r>
      <w:r>
        <w:t>rall</w:t>
      </w:r>
      <w:r w:rsidRPr="009F0422">
        <w:t xml:space="preserve"> </w:t>
      </w:r>
      <w:r>
        <w:t xml:space="preserve">(including the </w:t>
      </w:r>
      <w:r w:rsidR="001105CA">
        <w:t>Chair</w:t>
      </w:r>
      <w:r>
        <w:t>, the Field L</w:t>
      </w:r>
      <w:r w:rsidRPr="009F0422">
        <w:t>eader, UG/PG Director</w:t>
      </w:r>
      <w:r>
        <w:t xml:space="preserve">, Module Leaders etc). </w:t>
      </w:r>
    </w:p>
    <w:p w14:paraId="207717C9" w14:textId="77777777" w:rsidR="009F0422" w:rsidRDefault="009F0422" w:rsidP="00215FD2">
      <w:pPr>
        <w:pStyle w:val="Bulletpointstyle"/>
      </w:pPr>
      <w:r>
        <w:t>5 Module L</w:t>
      </w:r>
      <w:r w:rsidRPr="009F0422">
        <w:t xml:space="preserve">eaders </w:t>
      </w:r>
      <w:r>
        <w:t xml:space="preserve">have confirmed their marks in writing and there are </w:t>
      </w:r>
      <w:r w:rsidR="001B10B2">
        <w:t>no other issues for discussion. It is agreed they do not need to attend.</w:t>
      </w:r>
    </w:p>
    <w:p w14:paraId="13D82C4D" w14:textId="77777777" w:rsidR="009F0422" w:rsidRDefault="009F0422" w:rsidP="00215FD2">
      <w:pPr>
        <w:pStyle w:val="Bulletpointstyle"/>
      </w:pPr>
      <w:r>
        <w:t>The quoracy</w:t>
      </w:r>
      <w:r w:rsidR="001B10B2">
        <w:t xml:space="preserve"> for this meeting</w:t>
      </w:r>
      <w:r>
        <w:t xml:space="preserve"> goes down to 15</w:t>
      </w:r>
      <w:r w:rsidR="001B10B2">
        <w:t>.</w:t>
      </w:r>
    </w:p>
    <w:p w14:paraId="672834E0" w14:textId="77777777" w:rsidR="009F0422" w:rsidRPr="009F0422" w:rsidRDefault="009F0422" w:rsidP="00215FD2">
      <w:pPr>
        <w:pStyle w:val="Bulletpointstyle"/>
      </w:pPr>
      <w:r>
        <w:lastRenderedPageBreak/>
        <w:t xml:space="preserve">To maintain the two-thirds threshold, this means </w:t>
      </w:r>
      <w:r w:rsidR="001B10B2">
        <w:t xml:space="preserve">at least </w:t>
      </w:r>
      <w:r w:rsidRPr="009F0422">
        <w:t xml:space="preserve">10 </w:t>
      </w:r>
      <w:r>
        <w:t xml:space="preserve">members must attend in order that the Board is </w:t>
      </w:r>
      <w:r w:rsidRPr="009F0422">
        <w:t xml:space="preserve">viable. </w:t>
      </w:r>
    </w:p>
    <w:p w14:paraId="0C816A57" w14:textId="77777777" w:rsidR="009F0422" w:rsidRDefault="009F0422" w:rsidP="00215FD2">
      <w:pPr>
        <w:pStyle w:val="MainText"/>
        <w:rPr>
          <w:b/>
        </w:rPr>
      </w:pPr>
    </w:p>
    <w:p w14:paraId="5BD953D6" w14:textId="5AC924DB" w:rsidR="0093240A" w:rsidRDefault="009F0422" w:rsidP="00D01283">
      <w:pPr>
        <w:pStyle w:val="MainText"/>
      </w:pPr>
      <w:r w:rsidRPr="00D01283">
        <w:t>In regard to all Boards, in order that an accurate list of attendees is prepared and quoracy is maintained it is important that members confirm their attendance (or that of their nominee) to the relevant administration team in advance of the meeting/s.</w:t>
      </w:r>
      <w:r w:rsidR="0093240A" w:rsidRPr="00D01283">
        <w:t xml:space="preserve"> If a </w:t>
      </w:r>
      <w:r w:rsidR="001105CA">
        <w:t>Chair</w:t>
      </w:r>
      <w:r w:rsidR="0093240A" w:rsidRPr="00D01283">
        <w:t xml:space="preserve"> has been approached directly by a Module Leader they should ensure that the relevant Student Administration Team are notified.</w:t>
      </w:r>
    </w:p>
    <w:p w14:paraId="3B72167A" w14:textId="77777777" w:rsidR="00B94E0D" w:rsidRPr="00A10796" w:rsidRDefault="00B94E0D" w:rsidP="009B301E">
      <w:pPr>
        <w:pStyle w:val="Subtitle"/>
      </w:pPr>
      <w:r w:rsidRPr="00A10796">
        <w:t>Recording the views of those unable to attend</w:t>
      </w:r>
    </w:p>
    <w:p w14:paraId="22D52914" w14:textId="77777777" w:rsidR="00D37D03" w:rsidRPr="00D37D03" w:rsidRDefault="00D37D03" w:rsidP="00D37D03">
      <w:pPr>
        <w:pStyle w:val="MainText"/>
      </w:pPr>
      <w:r w:rsidRPr="00A10796">
        <w:t>An examining board must include an external examiner; either in person or contributing via a video, web, telephone or other link, in order to have the authority to grant credit or an award to students.</w:t>
      </w:r>
    </w:p>
    <w:p w14:paraId="6695A72D" w14:textId="77777777" w:rsidR="00D37D03" w:rsidRPr="00D37D03" w:rsidRDefault="00D37D03" w:rsidP="00D37D03">
      <w:pPr>
        <w:pStyle w:val="MainText"/>
      </w:pPr>
    </w:p>
    <w:p w14:paraId="163B4B0F" w14:textId="68E397B4" w:rsidR="00D37D03" w:rsidRPr="00D37D03" w:rsidRDefault="003D71EE" w:rsidP="00C502E3">
      <w:pPr>
        <w:pStyle w:val="MainText"/>
        <w:shd w:val="clear" w:color="auto" w:fill="FFFFFF" w:themeFill="background1"/>
      </w:pPr>
      <w:r>
        <w:t>W</w:t>
      </w:r>
      <w:r w:rsidR="00D37D03" w:rsidRPr="00D37D03">
        <w:t xml:space="preserve">hen a field board is considering results for the resit of a module, it may award credit for that module without the relevant external examiner being present; providing the Module Leader has confirmed to the </w:t>
      </w:r>
      <w:r w:rsidR="001105CA">
        <w:t>Chair</w:t>
      </w:r>
      <w:r w:rsidR="00D37D03" w:rsidRPr="00D37D03">
        <w:t xml:space="preserve"> in advance that due process in the setting, marking and moderation of assessment has been followed and there are no other issues that require discussion.</w:t>
      </w:r>
    </w:p>
    <w:p w14:paraId="7BBB2C87" w14:textId="77777777" w:rsidR="00D37D03" w:rsidRPr="00D37D03" w:rsidRDefault="00D37D03" w:rsidP="00C502E3">
      <w:pPr>
        <w:pStyle w:val="MainText"/>
        <w:shd w:val="clear" w:color="auto" w:fill="FFFFFF" w:themeFill="background1"/>
        <w:rPr>
          <w:b/>
        </w:rPr>
      </w:pPr>
    </w:p>
    <w:p w14:paraId="56A82C14" w14:textId="77777777" w:rsidR="004D7BE7" w:rsidRDefault="00D37D03" w:rsidP="00C502E3">
      <w:pPr>
        <w:pStyle w:val="MainText"/>
        <w:shd w:val="clear" w:color="auto" w:fill="FFFFFF" w:themeFill="background1"/>
      </w:pPr>
      <w:r w:rsidRPr="00D37D03">
        <w:t>The contribution of the external examiner for all boards of which they are a member of must be reflected in the minutes.</w:t>
      </w:r>
    </w:p>
    <w:p w14:paraId="0CAFF0FB" w14:textId="77777777" w:rsidR="00B94E0D" w:rsidRPr="000407E9" w:rsidRDefault="00B94E0D" w:rsidP="009B301E">
      <w:pPr>
        <w:pStyle w:val="Subtitle"/>
      </w:pPr>
      <w:r w:rsidRPr="000407E9">
        <w:t>Avoiding potential conflicts of interest</w:t>
      </w:r>
    </w:p>
    <w:p w14:paraId="54BC8E5F" w14:textId="77777777" w:rsidR="00B94E0D" w:rsidRDefault="00B94E0D" w:rsidP="0084329A">
      <w:pPr>
        <w:pStyle w:val="MainText"/>
      </w:pPr>
      <w:r w:rsidRPr="000407E9">
        <w:t>No student shall be a member of an examining board or attend an examiner’s meeting other than as a candidate for assessment. No member of staff who is enrolled on a module or registered for an award under consideration by the board shall be a member of the board whilst the module or award is under discussion</w:t>
      </w:r>
      <w:r w:rsidR="0006456D">
        <w:t>.</w:t>
      </w:r>
    </w:p>
    <w:p w14:paraId="60AEAD66" w14:textId="77777777" w:rsidR="009B301E" w:rsidRDefault="009B301E" w:rsidP="009B301E">
      <w:pPr>
        <w:pStyle w:val="Subtitle"/>
      </w:pPr>
      <w:r>
        <w:t>Maximum amount of credit</w:t>
      </w:r>
    </w:p>
    <w:p w14:paraId="283F088F" w14:textId="77777777" w:rsidR="009B301E" w:rsidRPr="00FB2F52" w:rsidRDefault="000112F2" w:rsidP="00215FD2">
      <w:pPr>
        <w:pStyle w:val="MainText"/>
      </w:pPr>
      <w:r w:rsidRPr="00C502E3">
        <w:rPr>
          <w:b/>
        </w:rPr>
        <w:t>C3.</w:t>
      </w:r>
      <w:r>
        <w:t xml:space="preserve"> </w:t>
      </w:r>
      <w:r w:rsidR="009B301E" w:rsidRPr="00B95038">
        <w:t xml:space="preserve">Students on undergraduate programmes on a full time mode of delivery may normally enrol for a maximum of 150 credits in one academic year. </w:t>
      </w:r>
      <w:r w:rsidR="00215FD2">
        <w:t>It</w:t>
      </w:r>
      <w:r w:rsidR="009B301E" w:rsidRPr="00B95038">
        <w:t xml:space="preserve"> is the responsibility of the Award Board to determine whether a student may be permitted to enrol on more than 150 credits at </w:t>
      </w:r>
      <w:r w:rsidR="00F001DC">
        <w:t>t</w:t>
      </w:r>
      <w:r w:rsidR="009B301E" w:rsidRPr="00B95038">
        <w:t>heir next enrolment.</w:t>
      </w:r>
      <w:r w:rsidR="009B301E" w:rsidRPr="00FB2F52">
        <w:t xml:space="preserve"> </w:t>
      </w:r>
    </w:p>
    <w:p w14:paraId="15381C03" w14:textId="77777777" w:rsidR="00B94E0D" w:rsidRPr="000407E9" w:rsidRDefault="00B94E0D" w:rsidP="009B301E">
      <w:pPr>
        <w:pStyle w:val="Subtitle"/>
      </w:pPr>
      <w:r w:rsidRPr="000407E9">
        <w:t>Review of assessment decisions</w:t>
      </w:r>
    </w:p>
    <w:p w14:paraId="24974C33" w14:textId="667653DE" w:rsidR="00B94E0D" w:rsidRDefault="00B94E0D" w:rsidP="0084329A">
      <w:pPr>
        <w:pStyle w:val="MainText"/>
        <w:rPr>
          <w:color w:val="000000"/>
          <w:lang w:eastAsia="en-GB"/>
        </w:rPr>
      </w:pPr>
      <w:r w:rsidRPr="00A10796">
        <w:t>The quorum for a sub-committee of an examining board is five, and normally at least</w:t>
      </w:r>
      <w:r w:rsidRPr="000407E9">
        <w:t xml:space="preserve"> </w:t>
      </w:r>
      <w:r w:rsidR="000112F2">
        <w:t>3</w:t>
      </w:r>
      <w:r w:rsidRPr="000407E9">
        <w:t xml:space="preserve"> members must have been present at the original meeting, one of whom should be the </w:t>
      </w:r>
      <w:r w:rsidR="001105CA">
        <w:t>Chair</w:t>
      </w:r>
      <w:r w:rsidRPr="000407E9">
        <w:t xml:space="preserve"> or their nominee. The sub-committee may be convened virtually or as a formal meeting. Where possible an external examiner will be a member of the sub group, but if this is not possible an external examiner should be consulted. If the decision relates to an award, the </w:t>
      </w:r>
      <w:r>
        <w:t>chief</w:t>
      </w:r>
      <w:r w:rsidRPr="000407E9">
        <w:t xml:space="preserve"> external examiner should either be a member </w:t>
      </w:r>
      <w:r w:rsidRPr="000407E9">
        <w:lastRenderedPageBreak/>
        <w:t xml:space="preserve">of the sub group or be consulted. </w:t>
      </w:r>
      <w:r w:rsidRPr="000407E9">
        <w:rPr>
          <w:color w:val="000000"/>
          <w:lang w:eastAsia="en-GB"/>
        </w:rPr>
        <w:t xml:space="preserve">The consent of an external examiner is required for any changes to the original decision of an examining board and written consent from the </w:t>
      </w:r>
      <w:r>
        <w:rPr>
          <w:color w:val="000000"/>
          <w:lang w:eastAsia="en-GB"/>
        </w:rPr>
        <w:t>chief</w:t>
      </w:r>
      <w:r w:rsidRPr="000407E9">
        <w:rPr>
          <w:color w:val="000000"/>
          <w:lang w:eastAsia="en-GB"/>
        </w:rPr>
        <w:t xml:space="preserve"> external examiner is required for any changes to the original award granted.</w:t>
      </w:r>
    </w:p>
    <w:p w14:paraId="5B530157" w14:textId="77777777" w:rsidR="004D7BE7" w:rsidRPr="004D7BE7" w:rsidRDefault="004D7BE7" w:rsidP="004D7BE7">
      <w:pPr>
        <w:pStyle w:val="Subtitle"/>
        <w:rPr>
          <w:lang w:eastAsia="en-GB"/>
        </w:rPr>
      </w:pPr>
      <w:r w:rsidRPr="004D7BE7">
        <w:rPr>
          <w:lang w:eastAsia="en-GB"/>
        </w:rPr>
        <w:t>Examining Board minutes</w:t>
      </w:r>
    </w:p>
    <w:p w14:paraId="1A674505" w14:textId="114B7E03" w:rsidR="004D7BE7" w:rsidRDefault="004D7BE7" w:rsidP="004D7BE7">
      <w:pPr>
        <w:pStyle w:val="MainText"/>
        <w:rPr>
          <w:color w:val="000000"/>
          <w:lang w:eastAsia="en-GB"/>
        </w:rPr>
      </w:pPr>
      <w:r w:rsidRPr="004D7BE7">
        <w:rPr>
          <w:color w:val="000000"/>
          <w:lang w:eastAsia="en-GB"/>
        </w:rPr>
        <w:t xml:space="preserve">Examining Board </w:t>
      </w:r>
      <w:r w:rsidR="001105CA">
        <w:rPr>
          <w:color w:val="000000"/>
          <w:lang w:eastAsia="en-GB"/>
        </w:rPr>
        <w:t>Chair</w:t>
      </w:r>
      <w:r w:rsidRPr="004D7BE7">
        <w:rPr>
          <w:color w:val="000000"/>
          <w:lang w:eastAsia="en-GB"/>
        </w:rPr>
        <w:t>s and Clerks are asked to ensure that a clear minute is recorded when decisions are made on individual students, i</w:t>
      </w:r>
      <w:r w:rsidR="00355291">
        <w:rPr>
          <w:color w:val="000000"/>
          <w:lang w:eastAsia="en-GB"/>
        </w:rPr>
        <w:t>ncluding the rationale</w:t>
      </w:r>
      <w:r w:rsidRPr="004D7BE7">
        <w:rPr>
          <w:color w:val="000000"/>
          <w:lang w:eastAsia="en-GB"/>
        </w:rPr>
        <w:t>. Errors, procedural irregularities, or invigilator com</w:t>
      </w:r>
      <w:r w:rsidR="00246332">
        <w:rPr>
          <w:color w:val="000000"/>
          <w:lang w:eastAsia="en-GB"/>
        </w:rPr>
        <w:t xml:space="preserve">ments should also be recorded. </w:t>
      </w:r>
      <w:r w:rsidRPr="004D7BE7">
        <w:rPr>
          <w:color w:val="000000"/>
          <w:lang w:eastAsia="en-GB"/>
        </w:rPr>
        <w:t>Exam Board minutes will be referred to in the case of a student appeal/complaint.</w:t>
      </w:r>
    </w:p>
    <w:p w14:paraId="06CF7F33" w14:textId="77777777" w:rsidR="004D7BE7" w:rsidRDefault="004D7BE7">
      <w:pPr>
        <w:rPr>
          <w:rFonts w:cs="Tahoma"/>
          <w:color w:val="000000"/>
          <w:szCs w:val="22"/>
          <w:lang w:eastAsia="en-GB"/>
        </w:rPr>
      </w:pPr>
      <w:r>
        <w:rPr>
          <w:color w:val="000000"/>
          <w:lang w:eastAsia="en-GB"/>
        </w:rPr>
        <w:br w:type="page"/>
      </w:r>
    </w:p>
    <w:p w14:paraId="614F8BB6" w14:textId="77777777" w:rsidR="00B94E0D" w:rsidRPr="008F2F2E" w:rsidRDefault="00B94E0D" w:rsidP="00B94E0D">
      <w:pPr>
        <w:shd w:val="clear" w:color="auto" w:fill="2E74B5" w:themeFill="accent1" w:themeFillShade="BF"/>
        <w:rPr>
          <w:b/>
          <w:color w:val="FFFFFF" w:themeColor="background1"/>
          <w:sz w:val="28"/>
          <w:szCs w:val="28"/>
        </w:rPr>
      </w:pPr>
      <w:bookmarkStart w:id="3" w:name="_Toc420923449"/>
      <w:r w:rsidRPr="008F2F2E">
        <w:rPr>
          <w:b/>
          <w:color w:val="FFFFFF" w:themeColor="background1"/>
          <w:sz w:val="28"/>
          <w:szCs w:val="28"/>
        </w:rPr>
        <w:lastRenderedPageBreak/>
        <w:t>FIELD BOARD GUIDANCE</w:t>
      </w:r>
    </w:p>
    <w:bookmarkEnd w:id="3"/>
    <w:p w14:paraId="43AFAA32" w14:textId="77777777" w:rsidR="00B94E0D" w:rsidRPr="0084329A" w:rsidRDefault="00B94E0D" w:rsidP="0084329A">
      <w:pPr>
        <w:pStyle w:val="MainText"/>
      </w:pPr>
    </w:p>
    <w:p w14:paraId="45211B47" w14:textId="77777777" w:rsidR="00B94E0D" w:rsidRPr="007225CB" w:rsidRDefault="00B94E0D" w:rsidP="0084329A">
      <w:pPr>
        <w:pStyle w:val="Subtitle"/>
      </w:pPr>
      <w:bookmarkStart w:id="4" w:name="_Toc440026539"/>
      <w:r w:rsidRPr="00504DEE">
        <w:t xml:space="preserve">Information available to the </w:t>
      </w:r>
      <w:r>
        <w:t xml:space="preserve">Field </w:t>
      </w:r>
      <w:r w:rsidRPr="00504DEE">
        <w:t>Board</w:t>
      </w:r>
      <w:bookmarkEnd w:id="4"/>
    </w:p>
    <w:p w14:paraId="222047D7" w14:textId="77777777" w:rsidR="00B94E0D" w:rsidRDefault="00B94E0D" w:rsidP="00B94E0D">
      <w:pPr>
        <w:contextualSpacing/>
        <w:rPr>
          <w:sz w:val="20"/>
        </w:rPr>
      </w:pPr>
    </w:p>
    <w:p w14:paraId="4B70BCCD" w14:textId="77777777" w:rsidR="00B94E0D" w:rsidRPr="0070504E" w:rsidRDefault="00B94E0D" w:rsidP="00B94E0D">
      <w:pPr>
        <w:ind w:left="720"/>
        <w:contextualSpacing/>
        <w:jc w:val="both"/>
        <w:rPr>
          <w:sz w:val="20"/>
        </w:rPr>
      </w:pPr>
    </w:p>
    <w:tbl>
      <w:tblPr>
        <w:tblStyle w:val="TableGrid"/>
        <w:tblW w:w="9408" w:type="dxa"/>
        <w:tblLook w:val="04A0" w:firstRow="1" w:lastRow="0" w:firstColumn="1" w:lastColumn="0" w:noHBand="0" w:noVBand="1"/>
      </w:tblPr>
      <w:tblGrid>
        <w:gridCol w:w="3222"/>
        <w:gridCol w:w="2018"/>
        <w:gridCol w:w="4168"/>
      </w:tblGrid>
      <w:tr w:rsidR="00B94E0D" w:rsidRPr="0070504E" w14:paraId="4C1524F8" w14:textId="77777777" w:rsidTr="002F342B">
        <w:tc>
          <w:tcPr>
            <w:tcW w:w="3222" w:type="dxa"/>
            <w:shd w:val="clear" w:color="auto" w:fill="C9C9C9" w:themeFill="accent3" w:themeFillTint="99"/>
          </w:tcPr>
          <w:p w14:paraId="3F07D911" w14:textId="77777777" w:rsidR="00B94E0D" w:rsidRPr="0070504E" w:rsidRDefault="00B94E0D" w:rsidP="00C311C4">
            <w:pPr>
              <w:jc w:val="both"/>
              <w:rPr>
                <w:b/>
              </w:rPr>
            </w:pPr>
            <w:r w:rsidRPr="0070504E">
              <w:rPr>
                <w:b/>
              </w:rPr>
              <w:t>Type of report</w:t>
            </w:r>
          </w:p>
        </w:tc>
        <w:tc>
          <w:tcPr>
            <w:tcW w:w="2018" w:type="dxa"/>
            <w:shd w:val="clear" w:color="auto" w:fill="C9C9C9" w:themeFill="accent3" w:themeFillTint="99"/>
          </w:tcPr>
          <w:p w14:paraId="2B1F3DCA" w14:textId="77777777" w:rsidR="00B94E0D" w:rsidRPr="0070504E" w:rsidRDefault="00B94E0D" w:rsidP="00C311C4">
            <w:pPr>
              <w:jc w:val="both"/>
              <w:rPr>
                <w:b/>
              </w:rPr>
            </w:pPr>
            <w:r>
              <w:rPr>
                <w:b/>
              </w:rPr>
              <w:t>Format</w:t>
            </w:r>
          </w:p>
        </w:tc>
        <w:tc>
          <w:tcPr>
            <w:tcW w:w="4168" w:type="dxa"/>
            <w:shd w:val="clear" w:color="auto" w:fill="C9C9C9" w:themeFill="accent3" w:themeFillTint="99"/>
          </w:tcPr>
          <w:p w14:paraId="68923556" w14:textId="77777777" w:rsidR="00B94E0D" w:rsidRPr="0070504E" w:rsidRDefault="00B94E0D" w:rsidP="00C311C4">
            <w:pPr>
              <w:jc w:val="both"/>
              <w:rPr>
                <w:b/>
              </w:rPr>
            </w:pPr>
            <w:r w:rsidRPr="0070504E">
              <w:rPr>
                <w:b/>
              </w:rPr>
              <w:t>Use of report</w:t>
            </w:r>
            <w:r>
              <w:rPr>
                <w:b/>
              </w:rPr>
              <w:t>/s</w:t>
            </w:r>
          </w:p>
        </w:tc>
      </w:tr>
      <w:tr w:rsidR="00B94E0D" w:rsidRPr="0070504E" w14:paraId="64E6D159" w14:textId="77777777" w:rsidTr="002F342B">
        <w:tc>
          <w:tcPr>
            <w:tcW w:w="3222" w:type="dxa"/>
          </w:tcPr>
          <w:p w14:paraId="62381A2E" w14:textId="77777777" w:rsidR="00B94E0D" w:rsidRPr="004D7BE7" w:rsidRDefault="00B94E0D" w:rsidP="004D7BE7">
            <w:pPr>
              <w:pStyle w:val="MainText"/>
              <w:rPr>
                <w:b/>
              </w:rPr>
            </w:pPr>
            <w:r w:rsidRPr="004D7BE7">
              <w:rPr>
                <w:b/>
              </w:rPr>
              <w:t>Agenda, Membership, Terms of Reference and minutes</w:t>
            </w:r>
          </w:p>
        </w:tc>
        <w:tc>
          <w:tcPr>
            <w:tcW w:w="2018" w:type="dxa"/>
          </w:tcPr>
          <w:p w14:paraId="1D51399E" w14:textId="77777777" w:rsidR="00B94E0D" w:rsidRPr="00C33248" w:rsidRDefault="007542CF" w:rsidP="002F342B">
            <w:pPr>
              <w:pStyle w:val="MainText"/>
            </w:pPr>
            <w:r>
              <w:t>Uploaded to Sharepoint (link sent to staff)</w:t>
            </w:r>
            <w:r w:rsidR="00CC4A48">
              <w:t xml:space="preserve"> or</w:t>
            </w:r>
            <w:r w:rsidR="002F342B">
              <w:t xml:space="preserve"> circulated via Outlook</w:t>
            </w:r>
            <w:r w:rsidR="002F342B" w:rsidRPr="002F342B">
              <w:t xml:space="preserve"> </w:t>
            </w:r>
          </w:p>
        </w:tc>
        <w:tc>
          <w:tcPr>
            <w:tcW w:w="4168" w:type="dxa"/>
          </w:tcPr>
          <w:p w14:paraId="501C333F" w14:textId="77777777" w:rsidR="00B94E0D" w:rsidRPr="00C33248" w:rsidRDefault="00B94E0D" w:rsidP="004D7BE7">
            <w:pPr>
              <w:pStyle w:val="MainText"/>
            </w:pPr>
            <w:r>
              <w:t>To provide clarity on the remit and authority of the Board.</w:t>
            </w:r>
          </w:p>
        </w:tc>
      </w:tr>
      <w:tr w:rsidR="00B94E0D" w:rsidRPr="0070504E" w14:paraId="424328C8" w14:textId="77777777" w:rsidTr="002F342B">
        <w:tc>
          <w:tcPr>
            <w:tcW w:w="3222" w:type="dxa"/>
          </w:tcPr>
          <w:p w14:paraId="05FA3EE5" w14:textId="77777777" w:rsidR="00B94E0D" w:rsidRPr="004D7BE7" w:rsidRDefault="00B94E0D" w:rsidP="004D7BE7">
            <w:pPr>
              <w:pStyle w:val="MainText"/>
              <w:rPr>
                <w:b/>
              </w:rPr>
            </w:pPr>
            <w:r w:rsidRPr="004D7BE7">
              <w:rPr>
                <w:b/>
              </w:rPr>
              <w:t>Module Legend</w:t>
            </w:r>
          </w:p>
        </w:tc>
        <w:tc>
          <w:tcPr>
            <w:tcW w:w="2018" w:type="dxa"/>
          </w:tcPr>
          <w:p w14:paraId="6C4B7875" w14:textId="77777777" w:rsidR="00B94E0D" w:rsidRPr="0070504E" w:rsidRDefault="00B94E0D" w:rsidP="004D7BE7">
            <w:pPr>
              <w:pStyle w:val="MainText"/>
            </w:pPr>
            <w:r>
              <w:t>Hard copy for all members</w:t>
            </w:r>
          </w:p>
        </w:tc>
        <w:tc>
          <w:tcPr>
            <w:tcW w:w="4168" w:type="dxa"/>
          </w:tcPr>
          <w:p w14:paraId="26591339" w14:textId="77777777" w:rsidR="00B94E0D" w:rsidRPr="0070504E" w:rsidRDefault="00B94E0D" w:rsidP="004D7BE7">
            <w:pPr>
              <w:pStyle w:val="MainText"/>
            </w:pPr>
            <w:r w:rsidRPr="0070504E">
              <w:t>Produced by the Student Administration Team, one for each faculty.  Will include the running order and details of the modules which have been flagged for discussion</w:t>
            </w:r>
            <w:r>
              <w:t>.</w:t>
            </w:r>
          </w:p>
        </w:tc>
      </w:tr>
      <w:tr w:rsidR="00B94E0D" w:rsidRPr="0070504E" w14:paraId="20A3F4C8" w14:textId="77777777" w:rsidTr="002F342B">
        <w:tc>
          <w:tcPr>
            <w:tcW w:w="3222" w:type="dxa"/>
          </w:tcPr>
          <w:p w14:paraId="2580478A" w14:textId="77777777" w:rsidR="00B94E0D" w:rsidRPr="004D7BE7" w:rsidRDefault="00B94E0D" w:rsidP="004D7BE7">
            <w:pPr>
              <w:pStyle w:val="MainText"/>
              <w:rPr>
                <w:b/>
              </w:rPr>
            </w:pPr>
            <w:r w:rsidRPr="004D7BE7">
              <w:rPr>
                <w:b/>
              </w:rPr>
              <w:t>Field Board report and statistics for individual modules</w:t>
            </w:r>
          </w:p>
        </w:tc>
        <w:tc>
          <w:tcPr>
            <w:tcW w:w="2018" w:type="dxa"/>
          </w:tcPr>
          <w:p w14:paraId="45454C87" w14:textId="77777777" w:rsidR="00B94E0D" w:rsidRPr="00DF39C1" w:rsidRDefault="00B94E0D" w:rsidP="00D44520">
            <w:pPr>
              <w:pStyle w:val="MainText"/>
            </w:pPr>
            <w:r w:rsidRPr="00DF39C1">
              <w:t>Electronic for all members (the Clerk</w:t>
            </w:r>
            <w:r>
              <w:t xml:space="preserve"> has a hard copy</w:t>
            </w:r>
            <w:r w:rsidRPr="00DF39C1">
              <w:t>)</w:t>
            </w:r>
          </w:p>
        </w:tc>
        <w:tc>
          <w:tcPr>
            <w:tcW w:w="4168" w:type="dxa"/>
          </w:tcPr>
          <w:p w14:paraId="0E95B741" w14:textId="77777777" w:rsidR="00B94E0D" w:rsidRPr="00DF39C1" w:rsidRDefault="00B94E0D" w:rsidP="004D7BE7">
            <w:pPr>
              <w:pStyle w:val="MainText"/>
            </w:pPr>
            <w:r w:rsidRPr="00DF39C1">
              <w:t>To be used when exploring / discussing module results in detail</w:t>
            </w:r>
            <w:r>
              <w:t>.</w:t>
            </w:r>
          </w:p>
        </w:tc>
      </w:tr>
      <w:tr w:rsidR="00B94E0D" w:rsidRPr="0070504E" w14:paraId="1A20964B" w14:textId="77777777" w:rsidTr="002F342B">
        <w:tc>
          <w:tcPr>
            <w:tcW w:w="3222" w:type="dxa"/>
          </w:tcPr>
          <w:p w14:paraId="4CF27106" w14:textId="77777777" w:rsidR="00B94E0D" w:rsidRPr="004D7BE7" w:rsidRDefault="00B94E0D" w:rsidP="004D7BE7">
            <w:pPr>
              <w:pStyle w:val="MainText"/>
              <w:rPr>
                <w:b/>
              </w:rPr>
            </w:pPr>
            <w:r w:rsidRPr="004D7BE7">
              <w:rPr>
                <w:b/>
              </w:rPr>
              <w:t xml:space="preserve">Field Board summary statistics </w:t>
            </w:r>
          </w:p>
          <w:p w14:paraId="0BE6E141" w14:textId="6E24646E" w:rsidR="00B94E0D" w:rsidRPr="00D17EF9" w:rsidRDefault="00B94E0D" w:rsidP="009F237D">
            <w:pPr>
              <w:pStyle w:val="MainText"/>
            </w:pPr>
            <w:r w:rsidRPr="00D17EF9">
              <w:t xml:space="preserve">There may be slight variances in the summary statistics in comparison to </w:t>
            </w:r>
            <w:r w:rsidR="009F237D">
              <w:t>the record system</w:t>
            </w:r>
            <w:r w:rsidRPr="00D17EF9">
              <w:t xml:space="preserve"> data.  This is because the summary statistics do not go down to element level.  Therefore, these statistics should be viewed as indicators of performance. For example, to assist in the identification of outlying modules.  The detailed results can then be referred to on the Field Board reports.</w:t>
            </w:r>
          </w:p>
        </w:tc>
        <w:tc>
          <w:tcPr>
            <w:tcW w:w="2018" w:type="dxa"/>
          </w:tcPr>
          <w:p w14:paraId="335C2792" w14:textId="77777777" w:rsidR="00B94E0D" w:rsidRPr="00DF39C1" w:rsidRDefault="00B94E0D" w:rsidP="00F54E38">
            <w:r w:rsidRPr="00DF39C1">
              <w:t>Hard copy for all members</w:t>
            </w:r>
          </w:p>
        </w:tc>
        <w:tc>
          <w:tcPr>
            <w:tcW w:w="4168" w:type="dxa"/>
          </w:tcPr>
          <w:p w14:paraId="7166E547" w14:textId="77777777" w:rsidR="00B94E0D" w:rsidRPr="00DF39C1" w:rsidRDefault="00B94E0D" w:rsidP="00F54E38">
            <w:r w:rsidRPr="00DF39C1">
              <w:t>Provides oversight of module performance in order to stimulate quality related discussions regarding topics such as:</w:t>
            </w:r>
          </w:p>
          <w:p w14:paraId="1376BB73" w14:textId="77777777" w:rsidR="00B94E0D" w:rsidRPr="00DF39C1" w:rsidRDefault="00B94E0D" w:rsidP="00792A60">
            <w:pPr>
              <w:pStyle w:val="Bulletpointstyle"/>
            </w:pPr>
            <w:r w:rsidRPr="00DF39C1">
              <w:t>Distribution of marks</w:t>
            </w:r>
          </w:p>
          <w:p w14:paraId="4D01D88F" w14:textId="77777777" w:rsidR="00B94E0D" w:rsidRPr="00DF39C1" w:rsidRDefault="00B94E0D" w:rsidP="00792A60">
            <w:pPr>
              <w:pStyle w:val="Bulletpointstyle"/>
            </w:pPr>
            <w:r w:rsidRPr="00DF39C1">
              <w:t>Pass rates</w:t>
            </w:r>
          </w:p>
          <w:p w14:paraId="5ADDBF1D" w14:textId="77777777" w:rsidR="00B94E0D" w:rsidRPr="00DF39C1" w:rsidRDefault="00B94E0D" w:rsidP="00792A60">
            <w:pPr>
              <w:pStyle w:val="Bulletpointstyle"/>
            </w:pPr>
            <w:r w:rsidRPr="00DF39C1">
              <w:t>Distinctive / interesting information about the results</w:t>
            </w:r>
          </w:p>
          <w:p w14:paraId="07F99B39" w14:textId="77777777" w:rsidR="00B94E0D" w:rsidRPr="00DF39C1" w:rsidRDefault="00B94E0D" w:rsidP="00792A60">
            <w:pPr>
              <w:pStyle w:val="Bulletpointstyle"/>
            </w:pPr>
            <w:r w:rsidRPr="00DF39C1">
              <w:t>Performance of different programme cohorts on the module</w:t>
            </w:r>
          </w:p>
          <w:p w14:paraId="0DC48B76" w14:textId="77777777" w:rsidR="00B94E0D" w:rsidRPr="00DF39C1" w:rsidRDefault="00B94E0D" w:rsidP="00792A60">
            <w:pPr>
              <w:pStyle w:val="Bulletpointstyle"/>
            </w:pPr>
            <w:r w:rsidRPr="00DF39C1">
              <w:t>Good practice and success</w:t>
            </w:r>
          </w:p>
          <w:p w14:paraId="4826F8B8" w14:textId="77777777" w:rsidR="00B94E0D" w:rsidRPr="00DF39C1" w:rsidRDefault="00B94E0D" w:rsidP="00792A60">
            <w:pPr>
              <w:pStyle w:val="Bulletpointstyle"/>
            </w:pPr>
            <w:r w:rsidRPr="00DF39C1">
              <w:t>Actions or developments for the future</w:t>
            </w:r>
          </w:p>
        </w:tc>
      </w:tr>
    </w:tbl>
    <w:p w14:paraId="6F3280DA" w14:textId="77777777" w:rsidR="00B94E0D" w:rsidRPr="0070504E" w:rsidRDefault="00B94E0D" w:rsidP="00B94E0D">
      <w:pPr>
        <w:contextualSpacing/>
        <w:jc w:val="both"/>
        <w:rPr>
          <w:sz w:val="20"/>
          <w:u w:val="single"/>
        </w:rPr>
      </w:pPr>
    </w:p>
    <w:p w14:paraId="7F862194" w14:textId="77777777" w:rsidR="00B94E0D" w:rsidRDefault="00B94E0D" w:rsidP="0084329A">
      <w:pPr>
        <w:pStyle w:val="MainText"/>
      </w:pPr>
      <w:r w:rsidRPr="0070504E">
        <w:t>All Module Leaders will have the opportunity to flag up items to note for their module.  For example, highlighting areas of good practice, suggestions for actions and developments in the future or discussing the statis</w:t>
      </w:r>
      <w:r>
        <w:t>tics for the individual module.</w:t>
      </w:r>
    </w:p>
    <w:p w14:paraId="57C32AAB" w14:textId="77777777" w:rsidR="00571638" w:rsidRDefault="00571638" w:rsidP="0084329A">
      <w:pPr>
        <w:pStyle w:val="MainText"/>
        <w:rPr>
          <w:b/>
          <w:color w:val="FF0000"/>
        </w:rPr>
      </w:pPr>
    </w:p>
    <w:p w14:paraId="7548BE5B" w14:textId="3CB2F859" w:rsidR="00CD1269" w:rsidRDefault="00571638" w:rsidP="0084329A">
      <w:pPr>
        <w:pStyle w:val="MainText"/>
      </w:pPr>
      <w:r w:rsidRPr="00571638">
        <w:rPr>
          <w:b/>
        </w:rPr>
        <w:lastRenderedPageBreak/>
        <w:t>Important note:</w:t>
      </w:r>
      <w:r>
        <w:t xml:space="preserve"> </w:t>
      </w:r>
      <w:r w:rsidR="00B94E0D" w:rsidRPr="000B3362">
        <w:t xml:space="preserve">Students who have </w:t>
      </w:r>
      <w:r w:rsidR="00C30BBA">
        <w:t>personal circumstances</w:t>
      </w:r>
      <w:r w:rsidR="00B94E0D" w:rsidRPr="000B3362">
        <w:t xml:space="preserve"> accepted on the grounds of </w:t>
      </w:r>
      <w:r>
        <w:t xml:space="preserve">affected decision making </w:t>
      </w:r>
      <w:r w:rsidR="00B94E0D" w:rsidRPr="000B3362">
        <w:t xml:space="preserve">or illness during an exam will have had their mark/s removed for the individual elements affected by the </w:t>
      </w:r>
      <w:r w:rsidR="00C30BBA">
        <w:t>personal circumstances</w:t>
      </w:r>
      <w:r w:rsidR="00246332">
        <w:t xml:space="preserve">. </w:t>
      </w:r>
      <w:r w:rsidR="00B94E0D" w:rsidRPr="000B3362">
        <w:t xml:space="preserve">The mark/s will have been replaced by a non-submission ‘NS’. </w:t>
      </w:r>
    </w:p>
    <w:p w14:paraId="38EE3CDC" w14:textId="77777777" w:rsidR="001105CA" w:rsidRDefault="001105CA" w:rsidP="0084329A">
      <w:pPr>
        <w:pStyle w:val="MainText"/>
      </w:pPr>
    </w:p>
    <w:p w14:paraId="02BB99E8" w14:textId="77777777" w:rsidR="00CD1269" w:rsidRDefault="00CD1269" w:rsidP="00CD1269">
      <w:pPr>
        <w:pStyle w:val="MainText"/>
      </w:pPr>
      <w:r w:rsidRPr="0084329A">
        <w:t>The confirmation of the accuracy of marks is carried out prior to the meeting using SharePoint</w:t>
      </w:r>
      <w:r>
        <w:rPr>
          <w:rStyle w:val="FootnoteReference"/>
        </w:rPr>
        <w:footnoteReference w:id="1"/>
      </w:r>
      <w:r w:rsidRPr="0084329A">
        <w:t xml:space="preserve">. Where there are reasons why this prior confirmation cannot happen, for example, if there are adverse group circumstances, this will take place in the meeting.  </w:t>
      </w:r>
    </w:p>
    <w:p w14:paraId="720BFBAC" w14:textId="77777777" w:rsidR="00CD1269" w:rsidRPr="0084329A" w:rsidRDefault="00CD1269" w:rsidP="00CD1269">
      <w:pPr>
        <w:pStyle w:val="MainText"/>
      </w:pPr>
    </w:p>
    <w:p w14:paraId="50C2DDA3" w14:textId="77777777" w:rsidR="00CD1269" w:rsidRDefault="00CD1269" w:rsidP="00CD1269">
      <w:pPr>
        <w:pStyle w:val="MainText"/>
      </w:pPr>
      <w:r w:rsidRPr="0084329A">
        <w:t>The meeting should consider the performance of modules, with particular attention being drawn to those in the following categories:</w:t>
      </w:r>
    </w:p>
    <w:p w14:paraId="5EBD9333" w14:textId="77777777" w:rsidR="00CD1269" w:rsidRPr="0084329A" w:rsidRDefault="00CD1269" w:rsidP="00CD1269">
      <w:pPr>
        <w:pStyle w:val="MainText"/>
      </w:pPr>
    </w:p>
    <w:p w14:paraId="29C4F554" w14:textId="77777777" w:rsidR="00CD1269" w:rsidRPr="0070504E" w:rsidRDefault="00CD1269" w:rsidP="00CD1269">
      <w:pPr>
        <w:pStyle w:val="Bulletpointstyle"/>
      </w:pPr>
      <w:r w:rsidRPr="0070504E">
        <w:t>Statistical outliers</w:t>
      </w:r>
      <w:r>
        <w:t>.</w:t>
      </w:r>
    </w:p>
    <w:p w14:paraId="04045D47" w14:textId="77777777" w:rsidR="00CD1269" w:rsidRPr="0070504E" w:rsidRDefault="00CD1269" w:rsidP="00CD1269">
      <w:pPr>
        <w:pStyle w:val="Bulletpointstyle"/>
      </w:pPr>
      <w:r w:rsidRPr="0070504E">
        <w:t>Where there are comments from the Module Leader</w:t>
      </w:r>
      <w:r>
        <w:t>.</w:t>
      </w:r>
    </w:p>
    <w:p w14:paraId="367B2464" w14:textId="77777777" w:rsidR="00CD1269" w:rsidRPr="0070504E" w:rsidRDefault="00CD1269" w:rsidP="00CD1269">
      <w:pPr>
        <w:pStyle w:val="Bulletpointstyle"/>
      </w:pPr>
      <w:r w:rsidRPr="0070504E">
        <w:t>On request from the Field Leader / Head of Department</w:t>
      </w:r>
      <w:r>
        <w:t>.</w:t>
      </w:r>
    </w:p>
    <w:p w14:paraId="2D2FE1A0" w14:textId="77777777" w:rsidR="00CD1269" w:rsidRPr="0070504E" w:rsidRDefault="00CD1269" w:rsidP="00CD1269">
      <w:pPr>
        <w:pStyle w:val="Bulletpointstyle"/>
      </w:pPr>
      <w:r w:rsidRPr="0070504E">
        <w:t>Where there are adverse group circumstances</w:t>
      </w:r>
      <w:r>
        <w:t xml:space="preserve"> affecting a cohort or sub-cohort of students.  For example, any errors or disruptions causing problems with the assessment process.</w:t>
      </w:r>
    </w:p>
    <w:p w14:paraId="20EF940A" w14:textId="114137C3" w:rsidR="00CD1269" w:rsidRDefault="00CD1269" w:rsidP="00CD1269">
      <w:pPr>
        <w:pStyle w:val="Bulletpointstyle"/>
      </w:pPr>
      <w:r w:rsidRPr="0006286E">
        <w:t>Where there are comments from the External Examiner</w:t>
      </w:r>
      <w:r>
        <w:t>.</w:t>
      </w:r>
    </w:p>
    <w:p w14:paraId="0E04EAB1" w14:textId="77777777" w:rsidR="001105CA" w:rsidRPr="00B85779" w:rsidRDefault="001105CA" w:rsidP="001105CA">
      <w:pPr>
        <w:pStyle w:val="Bulletpointstyle"/>
        <w:numPr>
          <w:ilvl w:val="0"/>
          <w:numId w:val="0"/>
        </w:numPr>
        <w:ind w:left="227"/>
      </w:pPr>
    </w:p>
    <w:p w14:paraId="220F001A" w14:textId="77777777" w:rsidR="00CD1269" w:rsidRDefault="00CD1269" w:rsidP="00CD1269">
      <w:pPr>
        <w:pStyle w:val="Subtitle"/>
      </w:pPr>
      <w:bookmarkStart w:id="5" w:name="_Toc420923453"/>
      <w:bookmarkStart w:id="6" w:name="_Toc440026538"/>
      <w:bookmarkStart w:id="7" w:name="_Toc420923454"/>
      <w:r>
        <w:t>Field</w:t>
      </w:r>
      <w:r w:rsidRPr="00504DEE">
        <w:t xml:space="preserve"> Boards and Assessment Offences</w:t>
      </w:r>
      <w:bookmarkEnd w:id="5"/>
      <w:bookmarkEnd w:id="6"/>
    </w:p>
    <w:p w14:paraId="3483AF53" w14:textId="77777777" w:rsidR="00CD1269" w:rsidRPr="0046346D" w:rsidRDefault="00CD1269" w:rsidP="00CD1269"/>
    <w:p w14:paraId="3AE9E0BD" w14:textId="77777777" w:rsidR="00CD1269" w:rsidRDefault="00CD1269" w:rsidP="00CD1269">
      <w:pPr>
        <w:pStyle w:val="MainText"/>
      </w:pPr>
      <w:r w:rsidRPr="000E600B">
        <w:t>It is not within the remit of the Field Board to consider an alleged assessment offence, to determine whether an offence has occurred or to make a decision on an appropriat</w:t>
      </w:r>
      <w:r>
        <w:t xml:space="preserve">e penalty.  </w:t>
      </w:r>
    </w:p>
    <w:p w14:paraId="395F877B" w14:textId="77777777" w:rsidR="00CD1269" w:rsidRDefault="00CD1269" w:rsidP="00CD1269">
      <w:pPr>
        <w:pStyle w:val="MainText"/>
      </w:pPr>
    </w:p>
    <w:p w14:paraId="20DD44D7" w14:textId="77777777" w:rsidR="00CD1269" w:rsidRDefault="00CD1269" w:rsidP="00CD1269">
      <w:pPr>
        <w:pStyle w:val="MainText"/>
      </w:pPr>
      <w:r w:rsidRPr="0084329A">
        <w:t xml:space="preserve">Prior to the Field Board the </w:t>
      </w:r>
      <w:hyperlink r:id="rId16" w:history="1">
        <w:r w:rsidR="00D0505E" w:rsidRPr="00D0505E">
          <w:rPr>
            <w:rStyle w:val="Hyperlink"/>
            <w:rFonts w:cs="Tahoma"/>
          </w:rPr>
          <w:t>Assessment and Feedback Policy and Operational Guide</w:t>
        </w:r>
      </w:hyperlink>
      <w:r w:rsidRPr="0084329A">
        <w:t xml:space="preserve"> should have been used to inform the processes of internal marking, element and component moderation and agreeing the module aggregate mark.</w:t>
      </w:r>
    </w:p>
    <w:p w14:paraId="63A6A6B3" w14:textId="77777777" w:rsidR="00CD1269" w:rsidRDefault="00CD1269">
      <w:pPr>
        <w:rPr>
          <w:b/>
          <w:color w:val="FFFFFF" w:themeColor="background1"/>
          <w:sz w:val="28"/>
          <w:szCs w:val="28"/>
        </w:rPr>
      </w:pPr>
      <w:r>
        <w:rPr>
          <w:b/>
          <w:color w:val="FFFFFF" w:themeColor="background1"/>
          <w:sz w:val="28"/>
          <w:szCs w:val="28"/>
        </w:rPr>
        <w:br w:type="page"/>
      </w:r>
    </w:p>
    <w:p w14:paraId="0B55FC85" w14:textId="77777777" w:rsidR="00B94E0D" w:rsidRPr="0038229F" w:rsidRDefault="00B94E0D" w:rsidP="00B94E0D">
      <w:pPr>
        <w:shd w:val="clear" w:color="auto" w:fill="8496B0" w:themeFill="text2" w:themeFillTint="99"/>
        <w:rPr>
          <w:b/>
          <w:color w:val="FFFFFF" w:themeColor="background1"/>
          <w:sz w:val="28"/>
          <w:szCs w:val="28"/>
        </w:rPr>
      </w:pPr>
      <w:r w:rsidRPr="0038229F">
        <w:rPr>
          <w:b/>
          <w:color w:val="FFFFFF" w:themeColor="background1"/>
          <w:sz w:val="28"/>
          <w:szCs w:val="28"/>
        </w:rPr>
        <w:lastRenderedPageBreak/>
        <w:t>AWARD BOARD GUIDANCE</w:t>
      </w:r>
    </w:p>
    <w:p w14:paraId="7CC52579" w14:textId="77777777" w:rsidR="00B94E0D" w:rsidRDefault="00B94E0D" w:rsidP="00F54E38">
      <w:pPr>
        <w:pStyle w:val="Subtitle"/>
      </w:pPr>
      <w:bookmarkStart w:id="8" w:name="_Toc420923455"/>
      <w:bookmarkStart w:id="9" w:name="_Toc440026540"/>
      <w:bookmarkEnd w:id="7"/>
      <w:r w:rsidRPr="008918F7">
        <w:t>Information available to the Award Board</w:t>
      </w:r>
      <w:bookmarkEnd w:id="8"/>
      <w:bookmarkEnd w:id="9"/>
    </w:p>
    <w:p w14:paraId="323B84C6" w14:textId="77777777" w:rsidR="00B94E0D" w:rsidRPr="0046346D" w:rsidRDefault="00B94E0D" w:rsidP="00B94E0D"/>
    <w:tbl>
      <w:tblPr>
        <w:tblStyle w:val="TableGrid"/>
        <w:tblW w:w="9408" w:type="dxa"/>
        <w:tblLook w:val="04A0" w:firstRow="1" w:lastRow="0" w:firstColumn="1" w:lastColumn="0" w:noHBand="0" w:noVBand="1"/>
      </w:tblPr>
      <w:tblGrid>
        <w:gridCol w:w="3222"/>
        <w:gridCol w:w="2302"/>
        <w:gridCol w:w="3884"/>
      </w:tblGrid>
      <w:tr w:rsidR="00B94E0D" w:rsidRPr="0070504E" w14:paraId="7777BB86" w14:textId="77777777" w:rsidTr="002F342B">
        <w:tc>
          <w:tcPr>
            <w:tcW w:w="3222" w:type="dxa"/>
            <w:shd w:val="clear" w:color="auto" w:fill="C9C9C9" w:themeFill="accent3" w:themeFillTint="99"/>
          </w:tcPr>
          <w:p w14:paraId="30617679" w14:textId="77777777" w:rsidR="00B94E0D" w:rsidRPr="0070504E" w:rsidRDefault="00B94E0D" w:rsidP="00C311C4">
            <w:pPr>
              <w:rPr>
                <w:b/>
              </w:rPr>
            </w:pPr>
            <w:r w:rsidRPr="0070504E">
              <w:rPr>
                <w:b/>
              </w:rPr>
              <w:t>Type of report</w:t>
            </w:r>
          </w:p>
        </w:tc>
        <w:tc>
          <w:tcPr>
            <w:tcW w:w="2302" w:type="dxa"/>
            <w:shd w:val="clear" w:color="auto" w:fill="C9C9C9" w:themeFill="accent3" w:themeFillTint="99"/>
          </w:tcPr>
          <w:p w14:paraId="260AD1EE" w14:textId="77777777" w:rsidR="00B94E0D" w:rsidRPr="0070504E" w:rsidRDefault="00B94E0D" w:rsidP="00C311C4">
            <w:pPr>
              <w:rPr>
                <w:b/>
              </w:rPr>
            </w:pPr>
            <w:r>
              <w:rPr>
                <w:b/>
              </w:rPr>
              <w:t>Format</w:t>
            </w:r>
          </w:p>
        </w:tc>
        <w:tc>
          <w:tcPr>
            <w:tcW w:w="3884" w:type="dxa"/>
            <w:shd w:val="clear" w:color="auto" w:fill="C9C9C9" w:themeFill="accent3" w:themeFillTint="99"/>
          </w:tcPr>
          <w:p w14:paraId="0824665D" w14:textId="77777777" w:rsidR="00B94E0D" w:rsidRPr="0070504E" w:rsidRDefault="00B94E0D" w:rsidP="00C311C4">
            <w:pPr>
              <w:rPr>
                <w:b/>
              </w:rPr>
            </w:pPr>
            <w:r w:rsidRPr="0070504E">
              <w:rPr>
                <w:b/>
              </w:rPr>
              <w:t>Use of report</w:t>
            </w:r>
            <w:r>
              <w:rPr>
                <w:b/>
              </w:rPr>
              <w:t>/s</w:t>
            </w:r>
          </w:p>
        </w:tc>
      </w:tr>
      <w:tr w:rsidR="00B94E0D" w:rsidRPr="0070504E" w14:paraId="5D97A6D7" w14:textId="77777777" w:rsidTr="002F342B">
        <w:tc>
          <w:tcPr>
            <w:tcW w:w="3222" w:type="dxa"/>
          </w:tcPr>
          <w:p w14:paraId="4761F74B" w14:textId="77777777" w:rsidR="00B94E0D" w:rsidRPr="004D7BE7" w:rsidRDefault="00B94E0D" w:rsidP="004D7BE7">
            <w:pPr>
              <w:pStyle w:val="MainText"/>
              <w:rPr>
                <w:b/>
              </w:rPr>
            </w:pPr>
            <w:r w:rsidRPr="004D7BE7">
              <w:rPr>
                <w:b/>
              </w:rPr>
              <w:t>Agenda, Membership, Terms of Reference and minutes</w:t>
            </w:r>
          </w:p>
        </w:tc>
        <w:tc>
          <w:tcPr>
            <w:tcW w:w="2302" w:type="dxa"/>
          </w:tcPr>
          <w:p w14:paraId="1458DC94" w14:textId="77777777" w:rsidR="00B94E0D" w:rsidRPr="00C33248" w:rsidRDefault="002F342B" w:rsidP="002F342B">
            <w:pPr>
              <w:pStyle w:val="MainText"/>
            </w:pPr>
            <w:r w:rsidRPr="002F342B">
              <w:t>Uploaded to Sh</w:t>
            </w:r>
            <w:r>
              <w:t xml:space="preserve">arepoint (link sent to staff) or </w:t>
            </w:r>
            <w:r w:rsidRPr="002F342B">
              <w:t>circulated via Outlook</w:t>
            </w:r>
            <w:r w:rsidR="00CC4A48">
              <w:t>.</w:t>
            </w:r>
            <w:r w:rsidRPr="002F342B">
              <w:t xml:space="preserve"> </w:t>
            </w:r>
            <w:r>
              <w:t>A</w:t>
            </w:r>
            <w:r w:rsidR="00B94E0D">
              <w:t>vailable on the day via LearnPad tablet.</w:t>
            </w:r>
          </w:p>
        </w:tc>
        <w:tc>
          <w:tcPr>
            <w:tcW w:w="3884" w:type="dxa"/>
          </w:tcPr>
          <w:p w14:paraId="3012D58F" w14:textId="77777777" w:rsidR="00B94E0D" w:rsidRPr="00C33248" w:rsidRDefault="00B94E0D" w:rsidP="004D7BE7">
            <w:pPr>
              <w:pStyle w:val="MainText"/>
            </w:pPr>
            <w:r>
              <w:t>To provide clarity on the remit and authority of the Board.</w:t>
            </w:r>
          </w:p>
        </w:tc>
      </w:tr>
      <w:tr w:rsidR="00B94E0D" w:rsidRPr="0070504E" w14:paraId="4FF8822B" w14:textId="77777777" w:rsidTr="002F342B">
        <w:tc>
          <w:tcPr>
            <w:tcW w:w="3222" w:type="dxa"/>
            <w:shd w:val="clear" w:color="auto" w:fill="auto"/>
          </w:tcPr>
          <w:p w14:paraId="1DE8626B" w14:textId="77777777" w:rsidR="00B94E0D" w:rsidRPr="004D7BE7" w:rsidRDefault="00B94E0D" w:rsidP="004D7BE7">
            <w:pPr>
              <w:pStyle w:val="MainText"/>
              <w:rPr>
                <w:b/>
              </w:rPr>
            </w:pPr>
            <w:r w:rsidRPr="004D7BE7">
              <w:rPr>
                <w:b/>
              </w:rPr>
              <w:t>Running order (where used)</w:t>
            </w:r>
          </w:p>
        </w:tc>
        <w:tc>
          <w:tcPr>
            <w:tcW w:w="2302" w:type="dxa"/>
            <w:shd w:val="clear" w:color="auto" w:fill="auto"/>
          </w:tcPr>
          <w:p w14:paraId="77147451" w14:textId="77777777" w:rsidR="00B94E0D" w:rsidRPr="00C96CF8" w:rsidRDefault="00B94E0D" w:rsidP="004D7BE7">
            <w:pPr>
              <w:pStyle w:val="MainText"/>
            </w:pPr>
            <w:r w:rsidRPr="00C96CF8">
              <w:t>Hard copy for all members</w:t>
            </w:r>
          </w:p>
        </w:tc>
        <w:tc>
          <w:tcPr>
            <w:tcW w:w="3884" w:type="dxa"/>
            <w:shd w:val="clear" w:color="auto" w:fill="auto"/>
          </w:tcPr>
          <w:p w14:paraId="66BF3246" w14:textId="77777777" w:rsidR="00B94E0D" w:rsidRPr="00C96CF8" w:rsidRDefault="00B94E0D" w:rsidP="004D7BE7">
            <w:pPr>
              <w:pStyle w:val="MainText"/>
            </w:pPr>
            <w:r w:rsidRPr="00C96CF8">
              <w:t>Produced by the Student Administration Team to guide the order of the meeting.</w:t>
            </w:r>
          </w:p>
        </w:tc>
      </w:tr>
      <w:tr w:rsidR="00B94E0D" w:rsidRPr="0070504E" w14:paraId="78E2B374" w14:textId="77777777" w:rsidTr="002F342B">
        <w:tc>
          <w:tcPr>
            <w:tcW w:w="3222" w:type="dxa"/>
          </w:tcPr>
          <w:p w14:paraId="0BA68431" w14:textId="3894FDBA" w:rsidR="00B94E0D" w:rsidRPr="004D7BE7" w:rsidRDefault="00B94E0D" w:rsidP="004D7BE7">
            <w:pPr>
              <w:pStyle w:val="MainText"/>
              <w:rPr>
                <w:b/>
              </w:rPr>
            </w:pPr>
            <w:r w:rsidRPr="004D7BE7">
              <w:rPr>
                <w:b/>
              </w:rPr>
              <w:t>Award Board reports</w:t>
            </w:r>
            <w:r w:rsidR="00197735">
              <w:rPr>
                <w:b/>
              </w:rPr>
              <w:t xml:space="preserve"> and statistics</w:t>
            </w:r>
          </w:p>
        </w:tc>
        <w:tc>
          <w:tcPr>
            <w:tcW w:w="2302" w:type="dxa"/>
          </w:tcPr>
          <w:p w14:paraId="0E29F3BE" w14:textId="77777777" w:rsidR="00B94E0D" w:rsidRPr="00CE013F" w:rsidRDefault="00B94E0D" w:rsidP="004D7BE7">
            <w:pPr>
              <w:pStyle w:val="MainText"/>
            </w:pPr>
            <w:r w:rsidRPr="00F0492E">
              <w:t>Available electronically</w:t>
            </w:r>
            <w:r>
              <w:t xml:space="preserve"> prior to the meeting on SharePoint and </w:t>
            </w:r>
            <w:r w:rsidRPr="00F0492E">
              <w:t xml:space="preserve"> </w:t>
            </w:r>
            <w:r>
              <w:t xml:space="preserve">on the day </w:t>
            </w:r>
            <w:r w:rsidRPr="00F0492E">
              <w:t>via LearnPad tablet</w:t>
            </w:r>
          </w:p>
        </w:tc>
        <w:tc>
          <w:tcPr>
            <w:tcW w:w="3884" w:type="dxa"/>
          </w:tcPr>
          <w:p w14:paraId="7A786C61" w14:textId="77777777" w:rsidR="00B94E0D" w:rsidRPr="00CE013F" w:rsidRDefault="00B94E0D" w:rsidP="004D7BE7">
            <w:pPr>
              <w:pStyle w:val="MainText"/>
            </w:pPr>
            <w:r w:rsidRPr="00CE013F">
              <w:t>To be used when discussing student results in detail</w:t>
            </w:r>
            <w:r>
              <w:t xml:space="preserve">. </w:t>
            </w:r>
          </w:p>
        </w:tc>
      </w:tr>
    </w:tbl>
    <w:p w14:paraId="2C0B70D6" w14:textId="77777777" w:rsidR="00D077D1" w:rsidRPr="00D077D1" w:rsidRDefault="00D077D1" w:rsidP="00D077D1">
      <w:pPr>
        <w:pStyle w:val="Subtitle"/>
      </w:pPr>
      <w:bookmarkStart w:id="10" w:name="_Toc420923456"/>
      <w:r w:rsidRPr="00D077D1">
        <w:t>Award Boards and Assessment Offences</w:t>
      </w:r>
    </w:p>
    <w:p w14:paraId="4DF499C8" w14:textId="77777777" w:rsidR="00246332" w:rsidRPr="00246332" w:rsidRDefault="00246332" w:rsidP="00246332">
      <w:pPr>
        <w:pStyle w:val="Subtitle"/>
        <w:rPr>
          <w:b w:val="0"/>
          <w:bCs w:val="0"/>
          <w:color w:val="auto"/>
          <w:sz w:val="22"/>
          <w:szCs w:val="22"/>
        </w:rPr>
      </w:pPr>
      <w:r>
        <w:rPr>
          <w:b w:val="0"/>
          <w:bCs w:val="0"/>
          <w:color w:val="auto"/>
          <w:sz w:val="22"/>
          <w:szCs w:val="22"/>
        </w:rPr>
        <w:t>W</w:t>
      </w:r>
      <w:r w:rsidRPr="00246332">
        <w:rPr>
          <w:b w:val="0"/>
          <w:bCs w:val="0"/>
          <w:color w:val="auto"/>
          <w:sz w:val="22"/>
          <w:szCs w:val="22"/>
        </w:rPr>
        <w:t>here an assessment offence is found to have occurred in relation to two or more modules the Award Board may decide to:</w:t>
      </w:r>
    </w:p>
    <w:p w14:paraId="3BBC77E8" w14:textId="77777777" w:rsidR="00246332" w:rsidRPr="00246332" w:rsidRDefault="00246332" w:rsidP="00792A60">
      <w:pPr>
        <w:pStyle w:val="Bulletpointstyle"/>
      </w:pPr>
      <w:r w:rsidRPr="00246332">
        <w:t>take no further action;</w:t>
      </w:r>
    </w:p>
    <w:p w14:paraId="4850C87C" w14:textId="77777777" w:rsidR="00246332" w:rsidRPr="00727132" w:rsidRDefault="00246332" w:rsidP="00792A60">
      <w:pPr>
        <w:pStyle w:val="Bulletpointstyle"/>
      </w:pPr>
      <w:r w:rsidRPr="00246332">
        <w:t>vary the class of award recommended.</w:t>
      </w:r>
    </w:p>
    <w:p w14:paraId="5E2828A4" w14:textId="77777777" w:rsidR="00D077D1" w:rsidRDefault="00D077D1" w:rsidP="00792A60">
      <w:pPr>
        <w:pStyle w:val="Bulletpointstyle"/>
        <w:numPr>
          <w:ilvl w:val="0"/>
          <w:numId w:val="0"/>
        </w:numPr>
        <w:ind w:left="227"/>
      </w:pPr>
    </w:p>
    <w:p w14:paraId="45AC157D" w14:textId="77777777" w:rsidR="009B301E" w:rsidRDefault="009B301E" w:rsidP="00792A60">
      <w:pPr>
        <w:pStyle w:val="Bulletpointstyle"/>
        <w:numPr>
          <w:ilvl w:val="0"/>
          <w:numId w:val="0"/>
        </w:numPr>
        <w:ind w:left="227"/>
      </w:pPr>
    </w:p>
    <w:p w14:paraId="75C12430" w14:textId="77777777" w:rsidR="009B301E" w:rsidRDefault="009B301E" w:rsidP="00792A60">
      <w:pPr>
        <w:pStyle w:val="Bulletpointstyle"/>
        <w:numPr>
          <w:ilvl w:val="0"/>
          <w:numId w:val="0"/>
        </w:numPr>
        <w:ind w:left="227"/>
      </w:pPr>
    </w:p>
    <w:p w14:paraId="0D964618" w14:textId="77777777" w:rsidR="009B301E" w:rsidRDefault="009B301E" w:rsidP="00792A60">
      <w:pPr>
        <w:pStyle w:val="Bulletpointstyle"/>
        <w:numPr>
          <w:ilvl w:val="0"/>
          <w:numId w:val="0"/>
        </w:numPr>
        <w:ind w:left="227"/>
      </w:pPr>
    </w:p>
    <w:p w14:paraId="590BB58C" w14:textId="77777777" w:rsidR="009B301E" w:rsidRDefault="009B301E" w:rsidP="00792A60">
      <w:pPr>
        <w:pStyle w:val="Bulletpointstyle"/>
        <w:numPr>
          <w:ilvl w:val="0"/>
          <w:numId w:val="0"/>
        </w:numPr>
        <w:ind w:left="227"/>
      </w:pPr>
    </w:p>
    <w:p w14:paraId="3140A9DB" w14:textId="77777777" w:rsidR="009B301E" w:rsidRDefault="009B301E" w:rsidP="00792A60">
      <w:pPr>
        <w:pStyle w:val="Bulletpointstyle"/>
        <w:numPr>
          <w:ilvl w:val="0"/>
          <w:numId w:val="0"/>
        </w:numPr>
        <w:ind w:left="227"/>
      </w:pPr>
    </w:p>
    <w:p w14:paraId="18C102EA" w14:textId="77777777" w:rsidR="009B301E" w:rsidRDefault="009B301E" w:rsidP="00792A60">
      <w:pPr>
        <w:pStyle w:val="Bulletpointstyle"/>
        <w:numPr>
          <w:ilvl w:val="0"/>
          <w:numId w:val="0"/>
        </w:numPr>
        <w:ind w:left="227"/>
      </w:pPr>
    </w:p>
    <w:p w14:paraId="3F998201" w14:textId="77777777" w:rsidR="00B95038" w:rsidRDefault="00B95038" w:rsidP="00792A60">
      <w:pPr>
        <w:pStyle w:val="Bulletpointstyle"/>
        <w:numPr>
          <w:ilvl w:val="0"/>
          <w:numId w:val="0"/>
        </w:numPr>
        <w:ind w:left="227"/>
      </w:pPr>
    </w:p>
    <w:p w14:paraId="7F1D46A3" w14:textId="77777777" w:rsidR="00B95038" w:rsidRDefault="00B95038" w:rsidP="00792A60">
      <w:pPr>
        <w:pStyle w:val="Bulletpointstyle"/>
        <w:numPr>
          <w:ilvl w:val="0"/>
          <w:numId w:val="0"/>
        </w:numPr>
        <w:ind w:left="227"/>
      </w:pPr>
    </w:p>
    <w:p w14:paraId="212BD919" w14:textId="77777777" w:rsidR="00B95038" w:rsidRDefault="00B95038" w:rsidP="00792A60">
      <w:pPr>
        <w:pStyle w:val="Bulletpointstyle"/>
        <w:numPr>
          <w:ilvl w:val="0"/>
          <w:numId w:val="0"/>
        </w:numPr>
        <w:ind w:left="227"/>
      </w:pPr>
    </w:p>
    <w:p w14:paraId="2A344D8E" w14:textId="77777777" w:rsidR="00B95038" w:rsidRDefault="00B95038" w:rsidP="00792A60">
      <w:pPr>
        <w:pStyle w:val="Bulletpointstyle"/>
        <w:numPr>
          <w:ilvl w:val="0"/>
          <w:numId w:val="0"/>
        </w:numPr>
        <w:ind w:left="227"/>
      </w:pPr>
    </w:p>
    <w:p w14:paraId="33900047" w14:textId="77777777" w:rsidR="00B95038" w:rsidRDefault="00B95038" w:rsidP="00792A60">
      <w:pPr>
        <w:pStyle w:val="Bulletpointstyle"/>
        <w:numPr>
          <w:ilvl w:val="0"/>
          <w:numId w:val="0"/>
        </w:numPr>
        <w:ind w:left="227"/>
      </w:pPr>
    </w:p>
    <w:p w14:paraId="36676668" w14:textId="77777777" w:rsidR="00B95038" w:rsidRDefault="00B95038" w:rsidP="00792A60">
      <w:pPr>
        <w:pStyle w:val="Bulletpointstyle"/>
        <w:numPr>
          <w:ilvl w:val="0"/>
          <w:numId w:val="0"/>
        </w:numPr>
        <w:ind w:left="227"/>
      </w:pPr>
    </w:p>
    <w:p w14:paraId="37D0699E" w14:textId="77777777" w:rsidR="00246332" w:rsidRPr="00520419" w:rsidRDefault="00246332" w:rsidP="00792A60">
      <w:pPr>
        <w:pStyle w:val="Bulletpointstyle"/>
        <w:numPr>
          <w:ilvl w:val="0"/>
          <w:numId w:val="0"/>
        </w:numPr>
        <w:ind w:left="227"/>
      </w:pPr>
    </w:p>
    <w:p w14:paraId="517090F6" w14:textId="77777777" w:rsidR="001159B0" w:rsidRPr="001159B0" w:rsidRDefault="001159B0" w:rsidP="001159B0">
      <w:pPr>
        <w:shd w:val="clear" w:color="auto" w:fill="E31340"/>
        <w:rPr>
          <w:b/>
          <w:color w:val="FFFFFF" w:themeColor="background1"/>
          <w:sz w:val="28"/>
          <w:szCs w:val="28"/>
        </w:rPr>
      </w:pPr>
      <w:r>
        <w:rPr>
          <w:b/>
          <w:color w:val="FFFFFF" w:themeColor="background1"/>
          <w:sz w:val="28"/>
          <w:szCs w:val="28"/>
        </w:rPr>
        <w:lastRenderedPageBreak/>
        <w:t>INFORMATION FOR INTERNATIONAL PARTNER BOARDS</w:t>
      </w:r>
    </w:p>
    <w:p w14:paraId="667620E8" w14:textId="77777777" w:rsidR="001159B0" w:rsidRDefault="001159B0">
      <w:pPr>
        <w:rPr>
          <w:b/>
          <w:sz w:val="28"/>
          <w:szCs w:val="28"/>
        </w:rPr>
      </w:pPr>
    </w:p>
    <w:p w14:paraId="5CD94191" w14:textId="77777777" w:rsidR="0029245E" w:rsidRDefault="0029245E" w:rsidP="0029245E">
      <w:pPr>
        <w:pStyle w:val="Subtitle"/>
      </w:pPr>
      <w:r>
        <w:t>Operation of the Boards</w:t>
      </w:r>
    </w:p>
    <w:p w14:paraId="15B536FD" w14:textId="77777777" w:rsidR="004B5E71" w:rsidRDefault="001159B0" w:rsidP="001159B0">
      <w:pPr>
        <w:pStyle w:val="MainText"/>
      </w:pPr>
      <w:r w:rsidRPr="001159B0">
        <w:t>International partner b</w:t>
      </w:r>
      <w:r w:rsidR="00A41711">
        <w:t>oards are not</w:t>
      </w:r>
      <w:r w:rsidRPr="001159B0">
        <w:t xml:space="preserve"> managed by exception. All modules will be presented to the Field Board and all student profiles will be presented to the Award Board</w:t>
      </w:r>
      <w:r w:rsidR="00B85779">
        <w:t>, in accordance with the academic regulations</w:t>
      </w:r>
      <w:r w:rsidRPr="001159B0">
        <w:t>.</w:t>
      </w:r>
    </w:p>
    <w:p w14:paraId="640B3D2F" w14:textId="77777777" w:rsidR="0029245E" w:rsidRPr="000407E9" w:rsidRDefault="0029245E" w:rsidP="0029245E">
      <w:pPr>
        <w:pStyle w:val="Subtitle"/>
      </w:pPr>
      <w:r w:rsidRPr="000407E9">
        <w:t>Quora</w:t>
      </w:r>
      <w:r>
        <w:t>c</w:t>
      </w:r>
      <w:r w:rsidRPr="000407E9">
        <w:t>y</w:t>
      </w:r>
    </w:p>
    <w:p w14:paraId="1E371389" w14:textId="77777777" w:rsidR="0029245E" w:rsidRDefault="0029245E" w:rsidP="001159B0">
      <w:pPr>
        <w:pStyle w:val="MainText"/>
      </w:pPr>
      <w:r w:rsidRPr="00C85F7F">
        <w:t>Page 4</w:t>
      </w:r>
      <w:r>
        <w:t xml:space="preserve"> of this guidance sets out the requirements for quoracy for UWE, Bristol Boards.</w:t>
      </w:r>
    </w:p>
    <w:p w14:paraId="41F531FB" w14:textId="77777777" w:rsidR="0029245E" w:rsidRDefault="0029245E" w:rsidP="001159B0">
      <w:pPr>
        <w:pStyle w:val="MainText"/>
      </w:pPr>
    </w:p>
    <w:p w14:paraId="768B4166" w14:textId="77777777" w:rsidR="0029245E" w:rsidRDefault="0029245E" w:rsidP="001159B0">
      <w:pPr>
        <w:pStyle w:val="MainText"/>
      </w:pPr>
      <w:r>
        <w:t>The membership of an international partner board is:</w:t>
      </w:r>
    </w:p>
    <w:p w14:paraId="5758D060" w14:textId="3BAEF843" w:rsidR="0029245E" w:rsidRDefault="001105CA" w:rsidP="00310094">
      <w:pPr>
        <w:pStyle w:val="Bulletpointstyle"/>
      </w:pPr>
      <w:r>
        <w:t>Chair</w:t>
      </w:r>
    </w:p>
    <w:p w14:paraId="053EE97E" w14:textId="77777777" w:rsidR="0029245E" w:rsidRDefault="0029245E" w:rsidP="00310094">
      <w:pPr>
        <w:pStyle w:val="Bulletpointstyle"/>
      </w:pPr>
      <w:r>
        <w:t>Partner module leaders (or nominee/s)</w:t>
      </w:r>
    </w:p>
    <w:p w14:paraId="5990287D" w14:textId="77777777" w:rsidR="0029245E" w:rsidRDefault="0029245E" w:rsidP="00310094">
      <w:pPr>
        <w:pStyle w:val="Bulletpointstyle"/>
      </w:pPr>
      <w:r>
        <w:t>Link tutor/s</w:t>
      </w:r>
    </w:p>
    <w:p w14:paraId="0A6E3993" w14:textId="77777777" w:rsidR="00C84EED" w:rsidRDefault="0029245E" w:rsidP="00310094">
      <w:pPr>
        <w:pStyle w:val="Bulletpointstyle"/>
      </w:pPr>
      <w:r>
        <w:t>External Examiner/s</w:t>
      </w:r>
    </w:p>
    <w:p w14:paraId="41A38109" w14:textId="77777777" w:rsidR="00C84EED" w:rsidRDefault="00C84EED" w:rsidP="00C84EED">
      <w:pPr>
        <w:pStyle w:val="Bulletpointstyle"/>
        <w:numPr>
          <w:ilvl w:val="0"/>
          <w:numId w:val="0"/>
        </w:numPr>
        <w:ind w:left="227" w:hanging="227"/>
      </w:pPr>
    </w:p>
    <w:p w14:paraId="389A1ECC" w14:textId="77777777" w:rsidR="00BF379F" w:rsidRDefault="006447CF" w:rsidP="00C84EED">
      <w:pPr>
        <w:pStyle w:val="Bulletpointstyle"/>
        <w:numPr>
          <w:ilvl w:val="0"/>
          <w:numId w:val="0"/>
        </w:numPr>
        <w:ind w:left="227" w:hanging="227"/>
      </w:pPr>
      <w:r>
        <w:t xml:space="preserve">The </w:t>
      </w:r>
      <w:hyperlink r:id="rId17" w:history="1">
        <w:r w:rsidRPr="006447CF">
          <w:rPr>
            <w:rStyle w:val="Hyperlink"/>
            <w:rFonts w:cs="Tahoma"/>
          </w:rPr>
          <w:t xml:space="preserve">Assessment and Feedback Policy and </w:t>
        </w:r>
        <w:r w:rsidR="00D01283">
          <w:rPr>
            <w:rStyle w:val="Hyperlink"/>
            <w:rFonts w:cs="Tahoma"/>
          </w:rPr>
          <w:t xml:space="preserve">the </w:t>
        </w:r>
        <w:r w:rsidRPr="006447CF">
          <w:rPr>
            <w:rStyle w:val="Hyperlink"/>
            <w:rFonts w:cs="Tahoma"/>
          </w:rPr>
          <w:t>Operational Guide</w:t>
        </w:r>
      </w:hyperlink>
      <w:r w:rsidR="00BF379F">
        <w:t xml:space="preserve"> provide further</w:t>
      </w:r>
    </w:p>
    <w:p w14:paraId="0B9C3A80" w14:textId="77777777" w:rsidR="00BF379F" w:rsidRDefault="006447CF" w:rsidP="00C84EED">
      <w:pPr>
        <w:pStyle w:val="Bulletpointstyle"/>
        <w:numPr>
          <w:ilvl w:val="0"/>
          <w:numId w:val="0"/>
        </w:numPr>
        <w:ind w:left="227" w:hanging="227"/>
      </w:pPr>
      <w:r>
        <w:t xml:space="preserve">information regarding the additional processes in place </w:t>
      </w:r>
      <w:r w:rsidR="00BF379F">
        <w:t>for the setting and</w:t>
      </w:r>
    </w:p>
    <w:p w14:paraId="037CF16F" w14:textId="77777777" w:rsidR="00C84EED" w:rsidRDefault="006447CF" w:rsidP="00C84EED">
      <w:pPr>
        <w:pStyle w:val="Bulletpointstyle"/>
        <w:numPr>
          <w:ilvl w:val="0"/>
          <w:numId w:val="0"/>
        </w:numPr>
        <w:ind w:left="227" w:hanging="227"/>
      </w:pPr>
      <w:r>
        <w:t>moderation of assessments at International Partners.</w:t>
      </w:r>
    </w:p>
    <w:p w14:paraId="6B46D3E3" w14:textId="77777777" w:rsidR="001159B0" w:rsidRDefault="001159B0" w:rsidP="00C84EED">
      <w:pPr>
        <w:pStyle w:val="Bulletpointstyle"/>
        <w:numPr>
          <w:ilvl w:val="0"/>
          <w:numId w:val="0"/>
        </w:numPr>
        <w:ind w:left="227" w:hanging="227"/>
      </w:pPr>
      <w:r w:rsidRPr="001159B0">
        <w:br w:type="page"/>
      </w:r>
    </w:p>
    <w:p w14:paraId="173B9DE2" w14:textId="77777777" w:rsidR="00B94E0D" w:rsidRPr="0038229F" w:rsidRDefault="0048251E" w:rsidP="00B94E0D">
      <w:pPr>
        <w:shd w:val="clear" w:color="auto" w:fill="7B7B7B" w:themeFill="accent3" w:themeFillShade="BF"/>
        <w:rPr>
          <w:b/>
          <w:color w:val="FFFFFF" w:themeColor="background1"/>
          <w:sz w:val="28"/>
          <w:szCs w:val="28"/>
        </w:rPr>
      </w:pPr>
      <w:r>
        <w:rPr>
          <w:b/>
          <w:color w:val="FFFFFF" w:themeColor="background1"/>
          <w:sz w:val="28"/>
          <w:szCs w:val="28"/>
        </w:rPr>
        <w:lastRenderedPageBreak/>
        <w:t xml:space="preserve">AWARD BOARD - </w:t>
      </w:r>
      <w:r w:rsidR="00B94E0D">
        <w:rPr>
          <w:b/>
          <w:color w:val="FFFFFF" w:themeColor="background1"/>
          <w:sz w:val="28"/>
          <w:szCs w:val="28"/>
        </w:rPr>
        <w:t>R</w:t>
      </w:r>
      <w:r w:rsidR="00F001DC">
        <w:rPr>
          <w:b/>
          <w:color w:val="FFFFFF" w:themeColor="background1"/>
          <w:sz w:val="28"/>
          <w:szCs w:val="28"/>
        </w:rPr>
        <w:t xml:space="preserve">ETAKES </w:t>
      </w:r>
    </w:p>
    <w:bookmarkEnd w:id="10"/>
    <w:p w14:paraId="6524A8A9" w14:textId="77777777" w:rsidR="00B94E0D" w:rsidRDefault="00B94E0D" w:rsidP="00B94E0D">
      <w:pPr>
        <w:rPr>
          <w:sz w:val="20"/>
        </w:rPr>
      </w:pPr>
    </w:p>
    <w:p w14:paraId="4A675920" w14:textId="57BE3285" w:rsidR="00B94E0D" w:rsidRDefault="00B94E0D" w:rsidP="00792A60">
      <w:pPr>
        <w:pStyle w:val="Bulletpointstyle"/>
      </w:pPr>
      <w:r w:rsidRPr="00106197">
        <w:t xml:space="preserve">Students who </w:t>
      </w:r>
      <w:r w:rsidR="00A06C15">
        <w:t xml:space="preserve">are </w:t>
      </w:r>
      <w:r w:rsidRPr="00106197">
        <w:t xml:space="preserve">registered on </w:t>
      </w:r>
      <w:r w:rsidR="00A06C15" w:rsidRPr="00106197">
        <w:rPr>
          <w:b/>
        </w:rPr>
        <w:t>standard</w:t>
      </w:r>
      <w:r w:rsidR="00A06C15" w:rsidRPr="00106197">
        <w:t xml:space="preserve"> and </w:t>
      </w:r>
      <w:r w:rsidR="00A06C15" w:rsidRPr="00106197">
        <w:rPr>
          <w:b/>
        </w:rPr>
        <w:t>project</w:t>
      </w:r>
      <w:r w:rsidR="00A06C15" w:rsidRPr="00106197">
        <w:t xml:space="preserve"> modules </w:t>
      </w:r>
      <w:r w:rsidRPr="00106197">
        <w:t xml:space="preserve">are permitted two automatic attempts on </w:t>
      </w:r>
      <w:r w:rsidR="006447CF" w:rsidRPr="00C502E3">
        <w:rPr>
          <w:b/>
        </w:rPr>
        <w:t>(Academic regulation D1 – Module Types)</w:t>
      </w:r>
      <w:r w:rsidRPr="00C502E3">
        <w:rPr>
          <w:b/>
        </w:rPr>
        <w:t>.</w:t>
      </w:r>
    </w:p>
    <w:p w14:paraId="79D2F285" w14:textId="77777777" w:rsidR="00B94E0D" w:rsidRPr="00106197" w:rsidRDefault="00B94E0D" w:rsidP="00792A60">
      <w:pPr>
        <w:pStyle w:val="Bulletpointstyle"/>
        <w:numPr>
          <w:ilvl w:val="0"/>
          <w:numId w:val="0"/>
        </w:numPr>
        <w:ind w:left="227"/>
      </w:pPr>
    </w:p>
    <w:p w14:paraId="2CAEC69D" w14:textId="77777777" w:rsidR="00B94E0D" w:rsidRDefault="00677CC7" w:rsidP="00792A60">
      <w:pPr>
        <w:pStyle w:val="Bulletpointstyle"/>
      </w:pPr>
      <w:r>
        <w:t>I</w:t>
      </w:r>
      <w:r w:rsidRPr="00B66A08">
        <w:t>f the professional practice component</w:t>
      </w:r>
      <w:r>
        <w:t xml:space="preserve"> of a</w:t>
      </w:r>
      <w:r w:rsidRPr="00B66A08">
        <w:t xml:space="preserve"> </w:t>
      </w:r>
      <w:r w:rsidR="00B94E0D" w:rsidRPr="00B66A08">
        <w:rPr>
          <w:b/>
        </w:rPr>
        <w:t>Professional practice</w:t>
      </w:r>
      <w:r w:rsidR="00B94E0D" w:rsidRPr="00B66A08">
        <w:t xml:space="preserve"> </w:t>
      </w:r>
      <w:r>
        <w:t xml:space="preserve">module </w:t>
      </w:r>
      <w:r w:rsidRPr="00B66A08">
        <w:t>has not been passed</w:t>
      </w:r>
      <w:r w:rsidRPr="00B66A08">
        <w:rPr>
          <w:b/>
        </w:rPr>
        <w:t xml:space="preserve"> </w:t>
      </w:r>
      <w:r>
        <w:t>it may be</w:t>
      </w:r>
      <w:r w:rsidR="00B94E0D" w:rsidRPr="00B66A08">
        <w:t xml:space="preserve"> re-assessed only </w:t>
      </w:r>
      <w:r>
        <w:t>if approved by</w:t>
      </w:r>
      <w:r w:rsidR="00B94E0D" w:rsidRPr="00B66A08">
        <w:t xml:space="preserve"> the Award Board</w:t>
      </w:r>
      <w:r>
        <w:t>. E</w:t>
      </w:r>
      <w:r w:rsidR="00B94E0D" w:rsidRPr="00B66A08">
        <w:t>ligibility for a resit or retake remains an Award Board decision</w:t>
      </w:r>
      <w:r w:rsidR="006447CF">
        <w:t xml:space="preserve"> </w:t>
      </w:r>
      <w:r w:rsidR="006447CF" w:rsidRPr="00C502E3">
        <w:rPr>
          <w:b/>
        </w:rPr>
        <w:t>(D1)</w:t>
      </w:r>
      <w:r w:rsidR="00B94E0D" w:rsidRPr="00C502E3">
        <w:rPr>
          <w:b/>
        </w:rPr>
        <w:t>.</w:t>
      </w:r>
      <w:r w:rsidR="00B94E0D" w:rsidRPr="00B66A08">
        <w:t xml:space="preserve">  </w:t>
      </w:r>
    </w:p>
    <w:p w14:paraId="480636E6" w14:textId="77777777" w:rsidR="00215FD2" w:rsidRDefault="00215FD2" w:rsidP="00215FD2">
      <w:pPr>
        <w:pStyle w:val="ListParagraph"/>
      </w:pPr>
    </w:p>
    <w:p w14:paraId="3174E26F" w14:textId="77777777" w:rsidR="00215FD2" w:rsidRPr="00CD1269" w:rsidRDefault="00215FD2" w:rsidP="00215FD2">
      <w:pPr>
        <w:pStyle w:val="Bulletpointstyle"/>
      </w:pPr>
      <w:r w:rsidRPr="00215FD2">
        <w:rPr>
          <w:b/>
        </w:rPr>
        <w:t xml:space="preserve">Masters Dissertation modules </w:t>
      </w:r>
      <w:r w:rsidRPr="00215FD2">
        <w:t>As of the 2018/2019 academic year</w:t>
      </w:r>
      <w:r w:rsidRPr="00215FD2">
        <w:rPr>
          <w:b/>
        </w:rPr>
        <w:t xml:space="preserve"> </w:t>
      </w:r>
      <w:r w:rsidRPr="000141BF">
        <w:t>Masters Dissertation modules</w:t>
      </w:r>
      <w:r>
        <w:t xml:space="preserve"> have two attempts by right</w:t>
      </w:r>
      <w:r w:rsidR="006447CF">
        <w:t xml:space="preserve"> </w:t>
      </w:r>
      <w:r w:rsidR="006447CF" w:rsidRPr="00C502E3">
        <w:rPr>
          <w:b/>
        </w:rPr>
        <w:t>(D1)</w:t>
      </w:r>
      <w:r w:rsidRPr="00C502E3">
        <w:rPr>
          <w:b/>
        </w:rPr>
        <w:t>.</w:t>
      </w:r>
      <w:r w:rsidRPr="000141BF">
        <w:t xml:space="preserve"> </w:t>
      </w:r>
    </w:p>
    <w:p w14:paraId="6C1F7DBC" w14:textId="77777777" w:rsidR="00B94E0D" w:rsidRPr="00B66A08" w:rsidRDefault="00B94E0D" w:rsidP="00792A60">
      <w:pPr>
        <w:pStyle w:val="Bulletpointstyle"/>
        <w:numPr>
          <w:ilvl w:val="0"/>
          <w:numId w:val="0"/>
        </w:numPr>
        <w:ind w:left="227"/>
      </w:pPr>
    </w:p>
    <w:p w14:paraId="0F278518" w14:textId="77777777" w:rsidR="00292E96" w:rsidRDefault="00EB765A" w:rsidP="00215FD2">
      <w:pPr>
        <w:pStyle w:val="Bulletpointstyle"/>
      </w:pPr>
      <w:r w:rsidRPr="00F001DC">
        <w:t>Students failing a module which is compulsory for a named award will have their registration for that award terminated by the University and may not register for another award for w</w:t>
      </w:r>
      <w:r w:rsidR="00B95038" w:rsidRPr="00F001DC">
        <w:t xml:space="preserve">hich that module is compulsory </w:t>
      </w:r>
      <w:r w:rsidR="00F001DC" w:rsidRPr="00F001DC">
        <w:t>(</w:t>
      </w:r>
      <w:r w:rsidR="00B95038" w:rsidRPr="00F001DC">
        <w:t xml:space="preserve">as per </w:t>
      </w:r>
      <w:r w:rsidR="00A92D3B">
        <w:rPr>
          <w:b/>
        </w:rPr>
        <w:t>G2</w:t>
      </w:r>
      <w:r w:rsidR="00F001DC" w:rsidRPr="00F001DC">
        <w:rPr>
          <w:b/>
        </w:rPr>
        <w:t>)</w:t>
      </w:r>
      <w:r w:rsidR="00B95038" w:rsidRPr="00F001DC">
        <w:t xml:space="preserve">. </w:t>
      </w:r>
      <w:r w:rsidR="00F001DC">
        <w:t xml:space="preserve">Furthermore, </w:t>
      </w:r>
      <w:r w:rsidR="00292E96" w:rsidRPr="00F001DC">
        <w:t xml:space="preserve">a student </w:t>
      </w:r>
      <w:r w:rsidR="00F001DC">
        <w:t xml:space="preserve">in this position </w:t>
      </w:r>
      <w:r w:rsidR="00292E96" w:rsidRPr="00F001DC">
        <w:t xml:space="preserve">cannot </w:t>
      </w:r>
      <w:r w:rsidR="00F001DC">
        <w:t xml:space="preserve">return to </w:t>
      </w:r>
      <w:r w:rsidR="00292E96" w:rsidRPr="00F001DC">
        <w:t>re-enrol in order to attempt to gain a</w:t>
      </w:r>
      <w:r w:rsidR="00F001DC">
        <w:t>n</w:t>
      </w:r>
      <w:r w:rsidR="00292E96" w:rsidRPr="00F001DC">
        <w:t xml:space="preserve"> interim award, even if they still have attempts remaining on other modules.</w:t>
      </w:r>
    </w:p>
    <w:p w14:paraId="7A299D7E" w14:textId="77777777" w:rsidR="00CD1269" w:rsidRDefault="00CD1269" w:rsidP="00CD1269">
      <w:pPr>
        <w:pStyle w:val="Bulletpointstyle"/>
        <w:numPr>
          <w:ilvl w:val="0"/>
          <w:numId w:val="0"/>
        </w:numPr>
        <w:ind w:left="227"/>
      </w:pPr>
    </w:p>
    <w:p w14:paraId="298BD852" w14:textId="77777777" w:rsidR="00285A0C" w:rsidRPr="00285A0C" w:rsidRDefault="00285A0C" w:rsidP="00792A60">
      <w:pPr>
        <w:pStyle w:val="Bulletpointstyle"/>
      </w:pPr>
      <w:r w:rsidRPr="00285A0C">
        <w:t>Where a student retakes a module, the mark for the whole module is limited to 40% (or 50% for Level M), unless the mark has been uncapped due to accepted personal circumstances</w:t>
      </w:r>
      <w:r w:rsidR="00A92D3B">
        <w:t xml:space="preserve"> </w:t>
      </w:r>
      <w:r w:rsidR="00A92D3B" w:rsidRPr="00C502E3">
        <w:rPr>
          <w:b/>
        </w:rPr>
        <w:t>(G5)</w:t>
      </w:r>
      <w:r w:rsidRPr="00C502E3">
        <w:rPr>
          <w:b/>
        </w:rPr>
        <w:t>.</w:t>
      </w:r>
    </w:p>
    <w:p w14:paraId="74F68AD7" w14:textId="77777777" w:rsidR="00285A0C" w:rsidRPr="00F001DC" w:rsidRDefault="00285A0C" w:rsidP="00792A60">
      <w:pPr>
        <w:pStyle w:val="Bulletpointstyle"/>
        <w:numPr>
          <w:ilvl w:val="0"/>
          <w:numId w:val="0"/>
        </w:numPr>
        <w:ind w:left="227"/>
      </w:pPr>
    </w:p>
    <w:p w14:paraId="31395E21" w14:textId="77777777" w:rsidR="00EB765A" w:rsidRPr="00EB765A" w:rsidRDefault="00EB765A" w:rsidP="00792A60">
      <w:pPr>
        <w:pStyle w:val="Bulletpointstyle"/>
        <w:numPr>
          <w:ilvl w:val="0"/>
          <w:numId w:val="0"/>
        </w:numPr>
        <w:ind w:left="227"/>
        <w:rPr>
          <w:highlight w:val="yellow"/>
        </w:rPr>
      </w:pPr>
    </w:p>
    <w:p w14:paraId="00DCF3EE" w14:textId="77777777" w:rsidR="00C56F26" w:rsidRDefault="00C56F26">
      <w:pPr>
        <w:rPr>
          <w:rFonts w:cs="Tahoma"/>
          <w:b/>
          <w:szCs w:val="22"/>
          <w:lang w:eastAsia="en-GB"/>
        </w:rPr>
      </w:pPr>
      <w:r>
        <w:rPr>
          <w:b/>
          <w:lang w:eastAsia="en-GB"/>
        </w:rPr>
        <w:br w:type="page"/>
      </w:r>
    </w:p>
    <w:p w14:paraId="3786A011" w14:textId="77777777" w:rsidR="00B94E0D" w:rsidRPr="003D71EE" w:rsidRDefault="00B94E0D" w:rsidP="003D71EE">
      <w:pPr>
        <w:shd w:val="clear" w:color="auto" w:fill="7030A0"/>
        <w:rPr>
          <w:b/>
          <w:color w:val="FFFFFF" w:themeColor="background1"/>
          <w:sz w:val="28"/>
          <w:szCs w:val="28"/>
        </w:rPr>
      </w:pPr>
      <w:bookmarkStart w:id="11" w:name="_Toc420923458"/>
      <w:bookmarkStart w:id="12" w:name="Borderline"/>
      <w:r w:rsidRPr="00CD65FB">
        <w:rPr>
          <w:b/>
          <w:color w:val="FFFFFF" w:themeColor="background1"/>
          <w:sz w:val="28"/>
          <w:szCs w:val="28"/>
        </w:rPr>
        <w:lastRenderedPageBreak/>
        <w:t>AWARD BOARD - BORDERLINES</w:t>
      </w:r>
    </w:p>
    <w:bookmarkEnd w:id="11"/>
    <w:bookmarkEnd w:id="12"/>
    <w:p w14:paraId="158065E3" w14:textId="77777777" w:rsidR="00B94E0D" w:rsidRDefault="00B94E0D" w:rsidP="00B94E0D">
      <w:pPr>
        <w:rPr>
          <w:sz w:val="20"/>
        </w:rPr>
      </w:pPr>
    </w:p>
    <w:p w14:paraId="014E238B" w14:textId="69C370B4" w:rsidR="00C311C4" w:rsidRDefault="00C311C4" w:rsidP="00C311C4">
      <w:pPr>
        <w:pStyle w:val="Subtitle"/>
      </w:pPr>
      <w:r w:rsidRPr="00C311C4">
        <w:t xml:space="preserve">Criteria </w:t>
      </w:r>
      <w:r w:rsidR="000729C5">
        <w:t>for</w:t>
      </w:r>
      <w:r w:rsidRPr="00C311C4">
        <w:t xml:space="preserve"> raising the classification / differential level of an award</w:t>
      </w:r>
      <w:r w:rsidR="000729C5">
        <w:t xml:space="preserve"> (</w:t>
      </w:r>
      <w:r w:rsidR="001105CA">
        <w:t xml:space="preserve">academic </w:t>
      </w:r>
      <w:r w:rsidR="000729C5">
        <w:t>regulation N4)</w:t>
      </w:r>
    </w:p>
    <w:p w14:paraId="2DB6383B" w14:textId="77777777" w:rsidR="00C311C4" w:rsidRPr="00C311C4" w:rsidRDefault="00C311C4" w:rsidP="00C311C4">
      <w:pPr>
        <w:rPr>
          <w:b/>
          <w:sz w:val="20"/>
        </w:rPr>
      </w:pPr>
    </w:p>
    <w:p w14:paraId="4297F3C5" w14:textId="136D505C" w:rsidR="00B94E0D" w:rsidRPr="00BD07CD" w:rsidRDefault="00B94E0D" w:rsidP="00A64B94">
      <w:pPr>
        <w:pStyle w:val="MainText"/>
        <w:rPr>
          <w:lang w:eastAsia="en-GB"/>
        </w:rPr>
      </w:pPr>
      <w:bookmarkStart w:id="13" w:name="_Toc420923460"/>
      <w:r w:rsidRPr="00BD07CD">
        <w:rPr>
          <w:lang w:eastAsia="en-GB"/>
        </w:rPr>
        <w:t xml:space="preserve">Any </w:t>
      </w:r>
      <w:r w:rsidRPr="00B63D17">
        <w:rPr>
          <w:b/>
          <w:lang w:eastAsia="en-GB"/>
        </w:rPr>
        <w:t>overall</w:t>
      </w:r>
      <w:r w:rsidRPr="00BD07CD">
        <w:rPr>
          <w:lang w:eastAsia="en-GB"/>
        </w:rPr>
        <w:t xml:space="preserve"> mark that is less than or equal to </w:t>
      </w:r>
      <w:r w:rsidRPr="00BD07CD">
        <w:rPr>
          <w:b/>
          <w:bCs/>
          <w:lang w:eastAsia="en-GB"/>
        </w:rPr>
        <w:t>0.5%</w:t>
      </w:r>
      <w:r w:rsidRPr="00BD07CD">
        <w:rPr>
          <w:lang w:eastAsia="en-GB"/>
        </w:rPr>
        <w:t xml:space="preserve"> below a classification </w:t>
      </w:r>
      <w:bookmarkStart w:id="14" w:name="_Hlk29302531"/>
      <w:r w:rsidR="000729C5">
        <w:rPr>
          <w:lang w:eastAsia="en-GB"/>
        </w:rPr>
        <w:t>will</w:t>
      </w:r>
      <w:r w:rsidRPr="00BD07CD">
        <w:rPr>
          <w:lang w:eastAsia="en-GB"/>
        </w:rPr>
        <w:t xml:space="preserve"> automatically be uplifted to the next class or differential.</w:t>
      </w:r>
    </w:p>
    <w:bookmarkEnd w:id="14"/>
    <w:p w14:paraId="5A6FA4B8" w14:textId="77777777" w:rsidR="00B94E0D" w:rsidRPr="00BD07CD" w:rsidRDefault="00B94E0D" w:rsidP="00A64B94">
      <w:pPr>
        <w:pStyle w:val="MainText"/>
        <w:rPr>
          <w:rFonts w:ascii="Times New Roman" w:hAnsi="Times New Roman" w:cs="Times New Roman"/>
          <w:sz w:val="24"/>
          <w:szCs w:val="24"/>
          <w:lang w:eastAsia="en-GB"/>
        </w:rPr>
      </w:pPr>
    </w:p>
    <w:p w14:paraId="080F0867" w14:textId="0A4D0B28" w:rsidR="001167EB" w:rsidRDefault="00C51F13" w:rsidP="001167EB">
      <w:pPr>
        <w:pStyle w:val="MainText"/>
        <w:rPr>
          <w:lang w:eastAsia="en-GB"/>
        </w:rPr>
      </w:pPr>
      <w:r w:rsidRPr="00C51F13">
        <w:rPr>
          <w:b/>
          <w:color w:val="FF0000"/>
          <w:lang w:eastAsia="en-GB"/>
        </w:rPr>
        <w:t>Update</w:t>
      </w:r>
      <w:r w:rsidRPr="00C51F13">
        <w:rPr>
          <w:color w:val="FF0000"/>
          <w:lang w:eastAsia="en-GB"/>
        </w:rPr>
        <w:t xml:space="preserve"> </w:t>
      </w:r>
      <w:r w:rsidR="00B94E0D" w:rsidRPr="00BD07CD">
        <w:rPr>
          <w:lang w:eastAsia="en-GB"/>
        </w:rPr>
        <w:t xml:space="preserve">Any </w:t>
      </w:r>
      <w:r w:rsidR="00B94E0D" w:rsidRPr="00B63D17">
        <w:rPr>
          <w:b/>
          <w:lang w:eastAsia="en-GB"/>
        </w:rPr>
        <w:t>overall</w:t>
      </w:r>
      <w:r w:rsidR="00B94E0D" w:rsidRPr="00BD07CD">
        <w:rPr>
          <w:lang w:eastAsia="en-GB"/>
        </w:rPr>
        <w:t xml:space="preserve"> mark that is greater than </w:t>
      </w:r>
      <w:r w:rsidR="00B94E0D" w:rsidRPr="00BD07CD">
        <w:rPr>
          <w:b/>
          <w:bCs/>
          <w:lang w:eastAsia="en-GB"/>
        </w:rPr>
        <w:t>0.5% and less than or equal to 1%</w:t>
      </w:r>
      <w:r w:rsidR="00B94E0D" w:rsidRPr="00BD07CD">
        <w:rPr>
          <w:lang w:eastAsia="en-GB"/>
        </w:rPr>
        <w:t xml:space="preserve"> below a classification or differential </w:t>
      </w:r>
      <w:r w:rsidR="000729C5" w:rsidRPr="000729C5">
        <w:rPr>
          <w:lang w:eastAsia="en-GB"/>
        </w:rPr>
        <w:t>will automatically be uplifted to the next class or differential</w:t>
      </w:r>
      <w:r w:rsidR="000729C5">
        <w:rPr>
          <w:lang w:eastAsia="en-GB"/>
        </w:rPr>
        <w:t xml:space="preserve"> if </w:t>
      </w:r>
      <w:r w:rsidR="00B94E0D" w:rsidRPr="00106197">
        <w:rPr>
          <w:b/>
          <w:lang w:eastAsia="en-GB"/>
        </w:rPr>
        <w:t>50%</w:t>
      </w:r>
      <w:r w:rsidR="0031624F">
        <w:rPr>
          <w:b/>
          <w:lang w:eastAsia="en-GB"/>
        </w:rPr>
        <w:t xml:space="preserve"> or more</w:t>
      </w:r>
      <w:r w:rsidR="00B94E0D" w:rsidRPr="00106197">
        <w:rPr>
          <w:b/>
          <w:lang w:eastAsia="en-GB"/>
        </w:rPr>
        <w:t xml:space="preserve"> of the credits at the highest level required by the programme</w:t>
      </w:r>
      <w:r w:rsidR="00B94E0D" w:rsidRPr="00106197">
        <w:rPr>
          <w:b/>
          <w:vertAlign w:val="superscript"/>
          <w:lang w:eastAsia="en-GB"/>
        </w:rPr>
        <w:footnoteReference w:id="2"/>
      </w:r>
      <w:r w:rsidR="00B94E0D" w:rsidRPr="00106197">
        <w:rPr>
          <w:b/>
          <w:lang w:eastAsia="en-GB"/>
        </w:rPr>
        <w:t xml:space="preserve"> have marks in the higher banding</w:t>
      </w:r>
      <w:r w:rsidR="00C26905">
        <w:rPr>
          <w:rStyle w:val="FootnoteReference"/>
          <w:b/>
          <w:lang w:eastAsia="en-GB"/>
        </w:rPr>
        <w:footnoteReference w:id="3"/>
      </w:r>
      <w:r w:rsidR="00B94E0D" w:rsidRPr="00106197">
        <w:rPr>
          <w:b/>
          <w:lang w:eastAsia="en-GB"/>
        </w:rPr>
        <w:t>.</w:t>
      </w:r>
      <w:r w:rsidR="00B94E0D" w:rsidRPr="00BD07CD">
        <w:rPr>
          <w:lang w:eastAsia="en-GB"/>
        </w:rPr>
        <w:t xml:space="preserve"> </w:t>
      </w:r>
    </w:p>
    <w:p w14:paraId="3A78F5CD" w14:textId="4D7A88AC" w:rsidR="0031624F" w:rsidRDefault="0031624F" w:rsidP="001167EB">
      <w:pPr>
        <w:pStyle w:val="MainText"/>
        <w:rPr>
          <w:lang w:eastAsia="en-GB"/>
        </w:rPr>
      </w:pPr>
    </w:p>
    <w:p w14:paraId="4EF23BE7" w14:textId="288721BE" w:rsidR="00D44520" w:rsidRPr="001105CA" w:rsidRDefault="00C51F13" w:rsidP="0023295E">
      <w:pPr>
        <w:pStyle w:val="Bulletpointstyle"/>
        <w:numPr>
          <w:ilvl w:val="0"/>
          <w:numId w:val="0"/>
        </w:numPr>
        <w:rPr>
          <w:color w:val="FF0000"/>
          <w:lang w:eastAsia="en-GB"/>
        </w:rPr>
      </w:pPr>
      <w:r w:rsidRPr="00C51F13">
        <w:rPr>
          <w:b/>
          <w:color w:val="FF0000"/>
          <w:lang w:eastAsia="en-GB"/>
        </w:rPr>
        <w:t>Update</w:t>
      </w:r>
      <w:r w:rsidRPr="00C51F13">
        <w:rPr>
          <w:color w:val="FF0000"/>
          <w:lang w:eastAsia="en-GB"/>
        </w:rPr>
        <w:t xml:space="preserve"> </w:t>
      </w:r>
      <w:r w:rsidR="001105CA">
        <w:rPr>
          <w:lang w:eastAsia="en-GB"/>
        </w:rPr>
        <w:t>It is important to note that it is possible to pass some modules without submitting all of the required assessments</w:t>
      </w:r>
      <w:r w:rsidR="001105CA" w:rsidRPr="001105CA">
        <w:rPr>
          <w:lang w:eastAsia="en-GB"/>
        </w:rPr>
        <w:t xml:space="preserve">. For example, where </w:t>
      </w:r>
      <w:r w:rsidR="001105CA" w:rsidRPr="001105CA">
        <w:t>a module component has more than one element</w:t>
      </w:r>
      <w:r w:rsidR="001105CA" w:rsidRPr="001105CA">
        <w:rPr>
          <w:lang w:eastAsia="en-GB"/>
        </w:rPr>
        <w:t xml:space="preserve">. Therefore, if a student has </w:t>
      </w:r>
      <w:r w:rsidR="0052471D">
        <w:rPr>
          <w:lang w:eastAsia="en-GB"/>
        </w:rPr>
        <w:t xml:space="preserve">any </w:t>
      </w:r>
      <w:r w:rsidR="001105CA" w:rsidRPr="001105CA">
        <w:rPr>
          <w:lang w:eastAsia="en-GB"/>
        </w:rPr>
        <w:t>newly</w:t>
      </w:r>
      <w:r w:rsidR="001105CA">
        <w:rPr>
          <w:lang w:eastAsia="en-GB"/>
        </w:rPr>
        <w:t xml:space="preserve"> accepted or historic personal circumstances</w:t>
      </w:r>
      <w:r w:rsidR="001105CA" w:rsidRPr="001167EB">
        <w:rPr>
          <w:lang w:eastAsia="en-GB"/>
        </w:rPr>
        <w:t xml:space="preserve"> </w:t>
      </w:r>
      <w:r w:rsidR="001105CA" w:rsidRPr="000729C5">
        <w:rPr>
          <w:b/>
          <w:lang w:eastAsia="en-GB"/>
        </w:rPr>
        <w:t>for modules they have passed,</w:t>
      </w:r>
      <w:r w:rsidR="001105CA">
        <w:rPr>
          <w:lang w:eastAsia="en-GB"/>
        </w:rPr>
        <w:t xml:space="preserve"> </w:t>
      </w:r>
      <w:r w:rsidR="001105CA" w:rsidRPr="001167EB">
        <w:rPr>
          <w:lang w:eastAsia="en-GB"/>
        </w:rPr>
        <w:t xml:space="preserve">the Board </w:t>
      </w:r>
      <w:r w:rsidR="001105CA">
        <w:rPr>
          <w:lang w:eastAsia="en-GB"/>
        </w:rPr>
        <w:t>should</w:t>
      </w:r>
      <w:r w:rsidR="001105CA" w:rsidRPr="001167EB">
        <w:rPr>
          <w:lang w:eastAsia="en-GB"/>
        </w:rPr>
        <w:t xml:space="preserve"> review the student’s profile to consider whether </w:t>
      </w:r>
      <w:r w:rsidR="001105CA">
        <w:rPr>
          <w:lang w:eastAsia="en-GB"/>
        </w:rPr>
        <w:t xml:space="preserve">an </w:t>
      </w:r>
      <w:r w:rsidR="001105CA" w:rsidRPr="001167EB">
        <w:rPr>
          <w:lang w:eastAsia="en-GB"/>
        </w:rPr>
        <w:t>uplift would be appropriate</w:t>
      </w:r>
      <w:r w:rsidR="001105CA">
        <w:rPr>
          <w:lang w:eastAsia="en-GB"/>
        </w:rPr>
        <w:t xml:space="preserve">. </w:t>
      </w:r>
    </w:p>
    <w:p w14:paraId="5ED70661" w14:textId="3ACFDBA2" w:rsidR="001167EB" w:rsidRDefault="001167EB" w:rsidP="00AB0953">
      <w:pPr>
        <w:pStyle w:val="MainText"/>
        <w:rPr>
          <w:strike/>
          <w:lang w:eastAsia="en-GB"/>
        </w:rPr>
      </w:pPr>
    </w:p>
    <w:p w14:paraId="7A1C993E" w14:textId="1213655B" w:rsidR="00B94E0D" w:rsidRDefault="001167EB" w:rsidP="00AB0953">
      <w:pPr>
        <w:pStyle w:val="MainText"/>
        <w:rPr>
          <w:lang w:eastAsia="en-GB"/>
        </w:rPr>
      </w:pPr>
      <w:r w:rsidRPr="001167EB">
        <w:rPr>
          <w:b/>
          <w:lang w:eastAsia="en-GB"/>
        </w:rPr>
        <w:t>Please note:</w:t>
      </w:r>
      <w:r w:rsidRPr="001167EB">
        <w:rPr>
          <w:lang w:eastAsia="en-GB"/>
        </w:rPr>
        <w:t xml:space="preserve"> </w:t>
      </w:r>
      <w:r w:rsidR="00B94E0D" w:rsidRPr="001167EB">
        <w:rPr>
          <w:lang w:eastAsia="en-GB"/>
        </w:rPr>
        <w:t>Whilst</w:t>
      </w:r>
      <w:r w:rsidR="00B94E0D" w:rsidRPr="00BD07CD">
        <w:rPr>
          <w:lang w:eastAsia="en-GB"/>
        </w:rPr>
        <w:t xml:space="preserve"> the Board will </w:t>
      </w:r>
      <w:r w:rsidR="00B94E0D" w:rsidRPr="00BD07CD">
        <w:rPr>
          <w:b/>
          <w:lang w:eastAsia="en-GB"/>
        </w:rPr>
        <w:t>not</w:t>
      </w:r>
      <w:r w:rsidR="00B94E0D" w:rsidRPr="00BD07CD">
        <w:rPr>
          <w:lang w:eastAsia="en-GB"/>
        </w:rPr>
        <w:t xml:space="preserve"> be informed of the details of the student’s circumstances the </w:t>
      </w:r>
      <w:r w:rsidR="001105CA">
        <w:rPr>
          <w:lang w:eastAsia="en-GB"/>
        </w:rPr>
        <w:t>Chair</w:t>
      </w:r>
      <w:r w:rsidR="00B94E0D" w:rsidRPr="00BD07CD">
        <w:rPr>
          <w:lang w:eastAsia="en-GB"/>
        </w:rPr>
        <w:t xml:space="preserve"> may be advised of these confidentially if this is relevant to the decision making process.</w:t>
      </w:r>
      <w:r w:rsidR="00D44520">
        <w:rPr>
          <w:lang w:eastAsia="en-GB"/>
        </w:rPr>
        <w:t xml:space="preserve"> </w:t>
      </w:r>
      <w:r w:rsidR="0016131C">
        <w:rPr>
          <w:lang w:eastAsia="en-GB"/>
        </w:rPr>
        <w:t xml:space="preserve">Board </w:t>
      </w:r>
      <w:r w:rsidR="001105CA">
        <w:rPr>
          <w:lang w:eastAsia="en-GB"/>
        </w:rPr>
        <w:t>Chair</w:t>
      </w:r>
      <w:r w:rsidR="0016131C">
        <w:rPr>
          <w:lang w:eastAsia="en-GB"/>
        </w:rPr>
        <w:t xml:space="preserve">s should ensure that </w:t>
      </w:r>
      <w:r w:rsidR="00AB0953">
        <w:rPr>
          <w:lang w:eastAsia="en-GB"/>
        </w:rPr>
        <w:t>the discussion which leads to the final decision is</w:t>
      </w:r>
      <w:r w:rsidR="0016131C">
        <w:rPr>
          <w:lang w:eastAsia="en-GB"/>
        </w:rPr>
        <w:t xml:space="preserve"> recorded in the minutes.</w:t>
      </w:r>
    </w:p>
    <w:p w14:paraId="362FCFD8" w14:textId="77777777" w:rsidR="0079707C" w:rsidRPr="004849C8" w:rsidRDefault="0079707C" w:rsidP="00A64B94">
      <w:pPr>
        <w:pStyle w:val="MainText"/>
        <w:rPr>
          <w:lang w:eastAsia="en-GB"/>
        </w:rPr>
      </w:pPr>
    </w:p>
    <w:p w14:paraId="63454FBB" w14:textId="77777777" w:rsidR="00B94E0D" w:rsidRPr="00986C1E" w:rsidRDefault="00B94E0D" w:rsidP="00A64B94">
      <w:pPr>
        <w:pStyle w:val="Subtitle"/>
      </w:pPr>
      <w:r w:rsidRPr="00CD00AF">
        <w:t>Notes on raising the classification / differential level of award</w:t>
      </w:r>
    </w:p>
    <w:p w14:paraId="7510B6F6" w14:textId="77777777" w:rsidR="00B94E0D" w:rsidRDefault="00B94E0D" w:rsidP="00B94E0D">
      <w:pPr>
        <w:rPr>
          <w:sz w:val="20"/>
        </w:rPr>
      </w:pPr>
    </w:p>
    <w:p w14:paraId="1D47E924" w14:textId="77777777" w:rsidR="00B94E0D" w:rsidRDefault="00B94E0D" w:rsidP="00792A60">
      <w:pPr>
        <w:pStyle w:val="Bulletpointstyle"/>
      </w:pPr>
      <w:r w:rsidRPr="00AB4563">
        <w:t>The criteria above can be used for all award types (e.g. Foundation / interims / Postgraduate).</w:t>
      </w:r>
    </w:p>
    <w:p w14:paraId="6AC7C199" w14:textId="77777777" w:rsidR="00B94E0D" w:rsidRPr="00AB4563" w:rsidRDefault="00B94E0D" w:rsidP="00792A60">
      <w:pPr>
        <w:pStyle w:val="Bulletpointstyle"/>
        <w:numPr>
          <w:ilvl w:val="0"/>
          <w:numId w:val="0"/>
        </w:numPr>
        <w:ind w:left="227"/>
      </w:pPr>
    </w:p>
    <w:p w14:paraId="0C5AFB47" w14:textId="77777777" w:rsidR="00B94E0D" w:rsidRDefault="00B94E0D" w:rsidP="00792A60">
      <w:pPr>
        <w:pStyle w:val="Bulletpointstyle"/>
      </w:pPr>
      <w:r w:rsidRPr="00AB4563">
        <w:t>The application of the criteria will be subject to the requirements of any professional and statutory regulatory body accrediting a programme.</w:t>
      </w:r>
    </w:p>
    <w:p w14:paraId="19668D77" w14:textId="77777777" w:rsidR="00B94E0D" w:rsidRPr="00AB4563" w:rsidRDefault="00B94E0D" w:rsidP="00792A60">
      <w:pPr>
        <w:pStyle w:val="Bulletpointstyle"/>
        <w:numPr>
          <w:ilvl w:val="0"/>
          <w:numId w:val="0"/>
        </w:numPr>
        <w:ind w:left="227"/>
      </w:pPr>
    </w:p>
    <w:p w14:paraId="0E4DCA54" w14:textId="6AF8E66C" w:rsidR="00B94E0D" w:rsidRDefault="0028194F" w:rsidP="00792A60">
      <w:pPr>
        <w:pStyle w:val="Bulletpointstyle"/>
      </w:pPr>
      <w:r w:rsidRPr="0028194F">
        <w:rPr>
          <w:b/>
          <w:color w:val="FF0000"/>
        </w:rPr>
        <w:t>Update</w:t>
      </w:r>
      <w:r w:rsidRPr="0028194F">
        <w:rPr>
          <w:color w:val="FF0000"/>
        </w:rPr>
        <w:t xml:space="preserve"> </w:t>
      </w:r>
      <w:r>
        <w:t>Whilst an automatic uplift</w:t>
      </w:r>
      <w:r w:rsidR="00B94E0D" w:rsidRPr="00AB4563">
        <w:t xml:space="preserve"> must be </w:t>
      </w:r>
      <w:r>
        <w:t xml:space="preserve">formally </w:t>
      </w:r>
      <w:r w:rsidR="00B94E0D" w:rsidRPr="00AB4563">
        <w:t>confirme</w:t>
      </w:r>
      <w:r>
        <w:t>d by the Board in its meeting</w:t>
      </w:r>
      <w:r w:rsidR="00B94E0D" w:rsidRPr="00AB4563">
        <w:t xml:space="preserve">, it is expected that all students who </w:t>
      </w:r>
      <w:r>
        <w:t>meet the criteria</w:t>
      </w:r>
      <w:r w:rsidR="00B94E0D" w:rsidRPr="00AB4563">
        <w:t xml:space="preserve"> will have their classification / differential raised up without question.</w:t>
      </w:r>
    </w:p>
    <w:p w14:paraId="59579F8D" w14:textId="77777777" w:rsidR="00E12D16" w:rsidRDefault="00E12D16" w:rsidP="00792A60">
      <w:pPr>
        <w:pStyle w:val="Bulletpointstyle"/>
        <w:numPr>
          <w:ilvl w:val="0"/>
          <w:numId w:val="0"/>
        </w:numPr>
      </w:pPr>
    </w:p>
    <w:p w14:paraId="1A2005E8" w14:textId="2CD5DF9D" w:rsidR="004E60F1" w:rsidRPr="008101C2" w:rsidRDefault="008101C2" w:rsidP="008101C2">
      <w:pPr>
        <w:pStyle w:val="MainText"/>
        <w:rPr>
          <w:b/>
          <w:bCs/>
          <w:color w:val="16818D"/>
          <w:sz w:val="28"/>
          <w:szCs w:val="28"/>
        </w:rPr>
      </w:pPr>
      <w:bookmarkStart w:id="15" w:name="_Toc440026547"/>
      <w:r w:rsidRPr="008101C2">
        <w:rPr>
          <w:b/>
          <w:color w:val="FF0000"/>
        </w:rPr>
        <w:lastRenderedPageBreak/>
        <w:t>Update:</w:t>
      </w:r>
      <w:r>
        <w:rPr>
          <w:b/>
        </w:rPr>
        <w:t xml:space="preserve"> </w:t>
      </w:r>
      <w:r w:rsidR="00C51F13">
        <w:t>Should</w:t>
      </w:r>
      <w:r w:rsidRPr="008101C2">
        <w:t xml:space="preserve"> a student be eligible for an honours degree, but has passed level </w:t>
      </w:r>
      <w:r>
        <w:t xml:space="preserve">M modules, </w:t>
      </w:r>
      <w:r w:rsidRPr="008101C2">
        <w:t xml:space="preserve">these </w:t>
      </w:r>
      <w:r>
        <w:t>may be</w:t>
      </w:r>
      <w:r w:rsidRPr="008101C2">
        <w:t xml:space="preserve"> included in the honours degree calculation. For the purposes of the calculation they will be weighted as level 3 modules.</w:t>
      </w:r>
      <w:r w:rsidR="004E60F1" w:rsidRPr="008101C2">
        <w:rPr>
          <w:b/>
        </w:rPr>
        <w:br w:type="page"/>
      </w:r>
    </w:p>
    <w:p w14:paraId="598F43F6" w14:textId="77777777" w:rsidR="00B94E0D" w:rsidRPr="00F90823" w:rsidRDefault="00F90823" w:rsidP="00F90823">
      <w:pPr>
        <w:shd w:val="clear" w:color="auto" w:fill="B11F87"/>
        <w:rPr>
          <w:b/>
          <w:color w:val="FFFFFF" w:themeColor="background1"/>
          <w:sz w:val="28"/>
          <w:szCs w:val="28"/>
        </w:rPr>
      </w:pPr>
      <w:r>
        <w:rPr>
          <w:b/>
          <w:color w:val="FFFFFF" w:themeColor="background1"/>
          <w:sz w:val="28"/>
          <w:szCs w:val="28"/>
        </w:rPr>
        <w:lastRenderedPageBreak/>
        <w:t xml:space="preserve">AWARD BOARD - </w:t>
      </w:r>
      <w:r w:rsidRPr="00F90823">
        <w:rPr>
          <w:b/>
          <w:color w:val="FFFFFF" w:themeColor="background1"/>
          <w:sz w:val="28"/>
          <w:szCs w:val="28"/>
        </w:rPr>
        <w:t>MASTERS DIFFERENTIAL AWARD</w:t>
      </w:r>
      <w:bookmarkEnd w:id="15"/>
      <w:r>
        <w:rPr>
          <w:b/>
          <w:color w:val="FFFFFF" w:themeColor="background1"/>
          <w:sz w:val="28"/>
          <w:szCs w:val="28"/>
        </w:rPr>
        <w:t>S</w:t>
      </w:r>
    </w:p>
    <w:p w14:paraId="682F146C" w14:textId="77777777" w:rsidR="00B94E0D" w:rsidRPr="00D16E44" w:rsidRDefault="00B94E0D" w:rsidP="00B94E0D"/>
    <w:p w14:paraId="712F6E30" w14:textId="13C36B1C" w:rsidR="00087C2C" w:rsidRDefault="00330CFD" w:rsidP="00FD7D64">
      <w:pPr>
        <w:pStyle w:val="MainText"/>
        <w:rPr>
          <w:color w:val="FF0000"/>
        </w:rPr>
      </w:pPr>
      <w:r>
        <w:rPr>
          <w:b/>
          <w:color w:val="FF0000"/>
        </w:rPr>
        <w:t xml:space="preserve">Students who </w:t>
      </w:r>
      <w:r w:rsidR="0015595E">
        <w:rPr>
          <w:b/>
          <w:color w:val="FF0000"/>
        </w:rPr>
        <w:t xml:space="preserve">have </w:t>
      </w:r>
      <w:r>
        <w:rPr>
          <w:b/>
          <w:color w:val="FF0000"/>
        </w:rPr>
        <w:t>register</w:t>
      </w:r>
      <w:r w:rsidR="0015595E">
        <w:rPr>
          <w:b/>
          <w:color w:val="FF0000"/>
        </w:rPr>
        <w:t>ed</w:t>
      </w:r>
      <w:r w:rsidR="00087C2C" w:rsidRPr="00087C2C">
        <w:rPr>
          <w:b/>
          <w:color w:val="FF0000"/>
        </w:rPr>
        <w:t xml:space="preserve"> on or after the 1</w:t>
      </w:r>
      <w:r w:rsidR="00087C2C" w:rsidRPr="00087C2C">
        <w:rPr>
          <w:b/>
          <w:color w:val="FF0000"/>
          <w:vertAlign w:val="superscript"/>
        </w:rPr>
        <w:t>st</w:t>
      </w:r>
      <w:r w:rsidR="00087C2C" w:rsidRPr="00087C2C">
        <w:rPr>
          <w:b/>
          <w:color w:val="FF0000"/>
        </w:rPr>
        <w:t xml:space="preserve"> September 2018</w:t>
      </w:r>
      <w:r w:rsidR="00087C2C" w:rsidRPr="00087C2C">
        <w:rPr>
          <w:color w:val="FF0000"/>
        </w:rPr>
        <w:t xml:space="preserve"> </w:t>
      </w:r>
    </w:p>
    <w:p w14:paraId="43A32A6A" w14:textId="77777777" w:rsidR="00FD7D64" w:rsidRDefault="00FD7D64" w:rsidP="00FD7D64">
      <w:pPr>
        <w:pStyle w:val="MainText"/>
      </w:pPr>
      <w:r w:rsidRPr="00E149D2">
        <w:t>In order to be awarded a Masters Degree with me</w:t>
      </w:r>
      <w:r>
        <w:t>rit a student must have a</w:t>
      </w:r>
      <w:r w:rsidRPr="00567284">
        <w:t>chieved a weighted average mark at level M of not less than 60% across 120 credits.</w:t>
      </w:r>
    </w:p>
    <w:p w14:paraId="659EEB77" w14:textId="77777777" w:rsidR="00FD7D64" w:rsidRDefault="00FD7D64" w:rsidP="00FD7D64">
      <w:pPr>
        <w:rPr>
          <w:b/>
        </w:rPr>
      </w:pPr>
    </w:p>
    <w:p w14:paraId="1CBC0E99" w14:textId="77777777" w:rsidR="00FD7D64" w:rsidRDefault="00FD7D64" w:rsidP="00FD7D64">
      <w:pPr>
        <w:pStyle w:val="MainText"/>
      </w:pPr>
      <w:r w:rsidRPr="00567284">
        <w:rPr>
          <w:rFonts w:cs="Arial"/>
          <w:szCs w:val="20"/>
        </w:rPr>
        <w:t>In order to be awarded a Masters Degree</w:t>
      </w:r>
      <w:r>
        <w:rPr>
          <w:rFonts w:cs="Arial"/>
          <w:szCs w:val="20"/>
        </w:rPr>
        <w:t xml:space="preserve"> with distinction a student must have </w:t>
      </w:r>
      <w:r w:rsidRPr="00E149D2">
        <w:t>achieved a weighted average mark at level M of not less than 70% across 120 credits.</w:t>
      </w:r>
    </w:p>
    <w:p w14:paraId="7588B94D" w14:textId="77777777" w:rsidR="004551C6" w:rsidRPr="004273D3" w:rsidRDefault="004551C6" w:rsidP="004551C6">
      <w:pPr>
        <w:pStyle w:val="MainText"/>
      </w:pPr>
    </w:p>
    <w:p w14:paraId="1939C83E" w14:textId="77777777" w:rsidR="00B94E0D" w:rsidRPr="004273D3" w:rsidRDefault="00B94E0D" w:rsidP="004551C6">
      <w:pPr>
        <w:pStyle w:val="MainText"/>
      </w:pPr>
      <w:r w:rsidRPr="004273D3">
        <w:t>The mark for the best 120 credits is weighted according to the size of the module.</w:t>
      </w:r>
    </w:p>
    <w:p w14:paraId="58C3C35F" w14:textId="77777777" w:rsidR="00B94E0D" w:rsidRPr="004273D3" w:rsidRDefault="00B94E0D" w:rsidP="004551C6">
      <w:pPr>
        <w:pStyle w:val="MainText"/>
      </w:pPr>
      <w:r w:rsidRPr="004273D3">
        <w:rPr>
          <w:b/>
        </w:rPr>
        <w:t>For example.</w:t>
      </w:r>
      <w:r w:rsidRPr="004273D3">
        <w:t xml:space="preserve">  A student passes 180 credits on a Masters programme.  </w:t>
      </w:r>
    </w:p>
    <w:p w14:paraId="692AECF9" w14:textId="77777777" w:rsidR="00B94E0D" w:rsidRDefault="00B94E0D" w:rsidP="004551C6">
      <w:pPr>
        <w:pStyle w:val="MainText"/>
      </w:pPr>
      <w:r w:rsidRPr="004273D3">
        <w:t xml:space="preserve">The Dissertation </w:t>
      </w:r>
      <w:r w:rsidR="00087C2C">
        <w:t xml:space="preserve">(or equivalent) </w:t>
      </w:r>
      <w:r w:rsidRPr="004273D3">
        <w:t>module</w:t>
      </w:r>
      <w:r w:rsidR="00087C2C">
        <w:t xml:space="preserve"> mark</w:t>
      </w:r>
      <w:r w:rsidRPr="004273D3">
        <w:t xml:space="preserve"> is indicated by an asterix.</w:t>
      </w:r>
    </w:p>
    <w:p w14:paraId="2ED20804" w14:textId="77777777" w:rsidR="004551C6" w:rsidRPr="004273D3" w:rsidRDefault="004551C6" w:rsidP="004551C6">
      <w:pPr>
        <w:pStyle w:val="MainText"/>
      </w:pPr>
    </w:p>
    <w:p w14:paraId="4A8A4916" w14:textId="77777777" w:rsidR="00B94E0D" w:rsidRPr="004273D3" w:rsidRDefault="00B94E0D" w:rsidP="004551C6">
      <w:pPr>
        <w:pStyle w:val="MainText"/>
        <w:rPr>
          <w:b/>
        </w:rPr>
      </w:pPr>
      <w:r w:rsidRPr="004273D3">
        <w:rPr>
          <w:b/>
        </w:rPr>
        <w:t>Mark     Credit size           Mark x Credit Size</w:t>
      </w:r>
    </w:p>
    <w:p w14:paraId="36229D58" w14:textId="77777777" w:rsidR="00B94E0D" w:rsidRPr="004273D3" w:rsidRDefault="00B94E0D" w:rsidP="004551C6">
      <w:pPr>
        <w:pStyle w:val="MainText"/>
      </w:pPr>
      <w:r w:rsidRPr="004273D3">
        <w:t>72*         60                           4320</w:t>
      </w:r>
    </w:p>
    <w:p w14:paraId="68FB1654" w14:textId="77777777" w:rsidR="00B94E0D" w:rsidRPr="004273D3" w:rsidRDefault="00B94E0D" w:rsidP="004551C6">
      <w:pPr>
        <w:pStyle w:val="MainText"/>
      </w:pPr>
      <w:r w:rsidRPr="004273D3">
        <w:t>70           30                           2100</w:t>
      </w:r>
    </w:p>
    <w:p w14:paraId="03947ACC" w14:textId="77777777" w:rsidR="00B94E0D" w:rsidRPr="004273D3" w:rsidRDefault="00B94E0D" w:rsidP="004551C6">
      <w:pPr>
        <w:pStyle w:val="MainText"/>
      </w:pPr>
      <w:r w:rsidRPr="004273D3">
        <w:t>70           30                           2100</w:t>
      </w:r>
    </w:p>
    <w:p w14:paraId="72379542" w14:textId="77777777" w:rsidR="00B94E0D" w:rsidRPr="004273D3" w:rsidRDefault="00B94E0D" w:rsidP="004551C6">
      <w:pPr>
        <w:pStyle w:val="MainText"/>
        <w:rPr>
          <w:b/>
          <w:bCs/>
        </w:rPr>
      </w:pPr>
      <w:r w:rsidRPr="004273D3">
        <w:rPr>
          <w:b/>
          <w:bCs/>
        </w:rPr>
        <w:t xml:space="preserve">TOTAL </w:t>
      </w:r>
      <w:r w:rsidRPr="004273D3">
        <w:t>  </w:t>
      </w:r>
      <w:r w:rsidRPr="004273D3">
        <w:rPr>
          <w:b/>
          <w:bCs/>
        </w:rPr>
        <w:t>120                         8520</w:t>
      </w:r>
    </w:p>
    <w:p w14:paraId="59660B2C" w14:textId="77777777" w:rsidR="00B94E0D" w:rsidRPr="004273D3" w:rsidRDefault="00B94E0D" w:rsidP="004551C6">
      <w:pPr>
        <w:pStyle w:val="MainText"/>
      </w:pPr>
      <w:r w:rsidRPr="004273D3">
        <w:t>65           30                           Not included in the best 120 credits</w:t>
      </w:r>
    </w:p>
    <w:p w14:paraId="3AC77D1D" w14:textId="77777777" w:rsidR="00B94E0D" w:rsidRDefault="00B94E0D" w:rsidP="004551C6">
      <w:pPr>
        <w:pStyle w:val="MainText"/>
      </w:pPr>
      <w:r w:rsidRPr="004273D3">
        <w:t>61           30                           Not included in the best 120 credits</w:t>
      </w:r>
    </w:p>
    <w:p w14:paraId="12178B1E" w14:textId="77777777" w:rsidR="004551C6" w:rsidRPr="004273D3" w:rsidRDefault="004551C6" w:rsidP="004551C6">
      <w:pPr>
        <w:pStyle w:val="MainText"/>
      </w:pPr>
    </w:p>
    <w:p w14:paraId="2C40BF9D" w14:textId="77777777" w:rsidR="00B94E0D" w:rsidRDefault="00B94E0D" w:rsidP="004551C6">
      <w:pPr>
        <w:pStyle w:val="MainText"/>
      </w:pPr>
      <w:r w:rsidRPr="004273D3">
        <w:t>Divide 8520 (weighted mark) by 120 (credit total) = 71</w:t>
      </w:r>
    </w:p>
    <w:p w14:paraId="4B03A8F9" w14:textId="77777777" w:rsidR="004551C6" w:rsidRDefault="00087C2C" w:rsidP="004551C6">
      <w:pPr>
        <w:pStyle w:val="MainText"/>
      </w:pPr>
      <w:r>
        <w:t>The student will receive a Distinction</w:t>
      </w:r>
    </w:p>
    <w:p w14:paraId="66764879" w14:textId="77777777" w:rsidR="00087C2C" w:rsidRDefault="00087C2C" w:rsidP="004551C6">
      <w:pPr>
        <w:pStyle w:val="MainText"/>
      </w:pPr>
    </w:p>
    <w:p w14:paraId="0A76AB2A" w14:textId="77777777" w:rsidR="00F457E3" w:rsidRDefault="00F457E3" w:rsidP="00215FD2">
      <w:pPr>
        <w:pStyle w:val="xmaintext"/>
      </w:pPr>
      <w:r>
        <w:rPr>
          <w:b/>
          <w:bCs/>
        </w:rPr>
        <w:t>Update</w:t>
      </w:r>
      <w:r>
        <w:t xml:space="preserve"> Please note that this method of calculation does not preclude consideration for an uplift. The Award Board is able to consider an uplift provided the student meets the required criteria.</w:t>
      </w:r>
    </w:p>
    <w:p w14:paraId="059123BB" w14:textId="77777777" w:rsidR="005D43BC" w:rsidRPr="00CD00AF" w:rsidRDefault="005D43BC" w:rsidP="00215FD2">
      <w:pPr>
        <w:pStyle w:val="MainText"/>
      </w:pPr>
    </w:p>
    <w:p w14:paraId="04458C51" w14:textId="77777777" w:rsidR="00BC0DD5" w:rsidRDefault="00BC0DD5">
      <w:pPr>
        <w:rPr>
          <w:b/>
          <w:sz w:val="28"/>
          <w:szCs w:val="28"/>
        </w:rPr>
      </w:pPr>
    </w:p>
    <w:p w14:paraId="602DC431" w14:textId="77777777" w:rsidR="00BC0DD5" w:rsidRDefault="00BC0DD5">
      <w:pPr>
        <w:rPr>
          <w:b/>
          <w:sz w:val="28"/>
          <w:szCs w:val="28"/>
        </w:rPr>
      </w:pPr>
    </w:p>
    <w:p w14:paraId="27D65B6E" w14:textId="77777777" w:rsidR="00BC0DD5" w:rsidRDefault="00BC0DD5">
      <w:pPr>
        <w:rPr>
          <w:b/>
          <w:sz w:val="28"/>
          <w:szCs w:val="28"/>
        </w:rPr>
      </w:pPr>
    </w:p>
    <w:p w14:paraId="0E0CE558" w14:textId="77777777" w:rsidR="00BC0DD5" w:rsidRDefault="00BC0DD5">
      <w:pPr>
        <w:rPr>
          <w:b/>
          <w:sz w:val="28"/>
          <w:szCs w:val="28"/>
        </w:rPr>
      </w:pPr>
    </w:p>
    <w:p w14:paraId="3C66B744" w14:textId="77777777" w:rsidR="00BC0DD5" w:rsidRDefault="00BC0DD5">
      <w:pPr>
        <w:rPr>
          <w:b/>
          <w:sz w:val="28"/>
          <w:szCs w:val="28"/>
        </w:rPr>
      </w:pPr>
    </w:p>
    <w:p w14:paraId="124B9228" w14:textId="77777777" w:rsidR="00BC0DD5" w:rsidRDefault="00BC0DD5">
      <w:pPr>
        <w:rPr>
          <w:b/>
          <w:sz w:val="28"/>
          <w:szCs w:val="28"/>
        </w:rPr>
      </w:pPr>
    </w:p>
    <w:p w14:paraId="168B0B58" w14:textId="77777777" w:rsidR="00BC0DD5" w:rsidRDefault="00BC0DD5">
      <w:pPr>
        <w:rPr>
          <w:b/>
          <w:sz w:val="28"/>
          <w:szCs w:val="28"/>
        </w:rPr>
      </w:pPr>
    </w:p>
    <w:p w14:paraId="58E45290" w14:textId="77777777" w:rsidR="00BC0DD5" w:rsidRDefault="00BC0DD5">
      <w:pPr>
        <w:rPr>
          <w:b/>
          <w:sz w:val="28"/>
          <w:szCs w:val="28"/>
        </w:rPr>
      </w:pPr>
    </w:p>
    <w:p w14:paraId="4FA56321" w14:textId="77777777" w:rsidR="00BC0DD5" w:rsidRDefault="00BC0DD5">
      <w:pPr>
        <w:rPr>
          <w:b/>
          <w:sz w:val="28"/>
          <w:szCs w:val="28"/>
        </w:rPr>
      </w:pPr>
    </w:p>
    <w:p w14:paraId="63199769" w14:textId="77777777" w:rsidR="00BC0DD5" w:rsidRDefault="00BC0DD5">
      <w:pPr>
        <w:rPr>
          <w:b/>
          <w:sz w:val="28"/>
          <w:szCs w:val="28"/>
        </w:rPr>
      </w:pPr>
    </w:p>
    <w:p w14:paraId="323D99A0" w14:textId="77777777" w:rsidR="00BC0DD5" w:rsidRDefault="00BC0DD5">
      <w:pPr>
        <w:rPr>
          <w:b/>
          <w:sz w:val="28"/>
          <w:szCs w:val="28"/>
        </w:rPr>
      </w:pPr>
    </w:p>
    <w:p w14:paraId="1A8F14AA" w14:textId="77777777" w:rsidR="00BC0DD5" w:rsidRDefault="00BC0DD5">
      <w:pPr>
        <w:rPr>
          <w:b/>
          <w:sz w:val="28"/>
          <w:szCs w:val="28"/>
        </w:rPr>
      </w:pPr>
    </w:p>
    <w:p w14:paraId="5D8BA09F" w14:textId="77777777" w:rsidR="00BC0DD5" w:rsidRDefault="00BC0DD5">
      <w:pPr>
        <w:rPr>
          <w:b/>
          <w:sz w:val="28"/>
          <w:szCs w:val="28"/>
        </w:rPr>
      </w:pPr>
    </w:p>
    <w:p w14:paraId="0F73D2FF" w14:textId="77777777" w:rsidR="00B94E0D" w:rsidRPr="002F714A" w:rsidRDefault="00B94E0D" w:rsidP="00B94E0D">
      <w:pPr>
        <w:shd w:val="clear" w:color="auto" w:fill="C45911" w:themeFill="accent2" w:themeFillShade="BF"/>
        <w:rPr>
          <w:b/>
          <w:color w:val="FFFFFF" w:themeColor="background1"/>
          <w:sz w:val="28"/>
          <w:szCs w:val="28"/>
        </w:rPr>
      </w:pPr>
      <w:r w:rsidRPr="002F714A">
        <w:rPr>
          <w:b/>
          <w:color w:val="FFFFFF" w:themeColor="background1"/>
          <w:sz w:val="28"/>
          <w:szCs w:val="28"/>
        </w:rPr>
        <w:lastRenderedPageBreak/>
        <w:t xml:space="preserve">AWARD BOARD – </w:t>
      </w:r>
      <w:r w:rsidR="0048251E">
        <w:rPr>
          <w:b/>
          <w:color w:val="FFFFFF" w:themeColor="background1"/>
          <w:sz w:val="28"/>
          <w:szCs w:val="28"/>
        </w:rPr>
        <w:t>CREDIT EXEMPTION (</w:t>
      </w:r>
      <w:r w:rsidRPr="002F714A">
        <w:rPr>
          <w:b/>
          <w:color w:val="FFFFFF" w:themeColor="background1"/>
          <w:sz w:val="28"/>
          <w:szCs w:val="28"/>
        </w:rPr>
        <w:t>80% RULE</w:t>
      </w:r>
      <w:r w:rsidR="0048251E">
        <w:rPr>
          <w:b/>
          <w:color w:val="FFFFFF" w:themeColor="background1"/>
          <w:sz w:val="28"/>
          <w:szCs w:val="28"/>
        </w:rPr>
        <w:t>)</w:t>
      </w:r>
    </w:p>
    <w:bookmarkEnd w:id="13"/>
    <w:p w14:paraId="697238C1" w14:textId="77777777" w:rsidR="00F90823" w:rsidRDefault="00F90823" w:rsidP="004551C6">
      <w:pPr>
        <w:pStyle w:val="MainText"/>
      </w:pPr>
    </w:p>
    <w:p w14:paraId="5DF84630" w14:textId="77777777" w:rsidR="00B94E0D" w:rsidRDefault="00B94E0D" w:rsidP="00F90823">
      <w:pPr>
        <w:pStyle w:val="MainText"/>
      </w:pPr>
      <w:r w:rsidRPr="00C1359B">
        <w:t xml:space="preserve">Award Boards </w:t>
      </w:r>
      <w:r w:rsidR="00355291">
        <w:t>may</w:t>
      </w:r>
      <w:r w:rsidRPr="00C1359B">
        <w:t xml:space="preserve"> offer an award despite a credit shortfall, provided that the shortfall does not exceed 20% of the total credit requirements for the award and it i</w:t>
      </w:r>
      <w:r w:rsidR="00F86CB3">
        <w:t xml:space="preserve">s </w:t>
      </w:r>
      <w:r w:rsidRPr="00C1359B">
        <w:t xml:space="preserve">set against </w:t>
      </w:r>
      <w:r w:rsidR="00C30BBA">
        <w:t>personal circumstances</w:t>
      </w:r>
      <w:r w:rsidR="00F90823">
        <w:t xml:space="preserve"> (</w:t>
      </w:r>
      <w:r w:rsidR="006A0D68">
        <w:t xml:space="preserve">noted in the </w:t>
      </w:r>
      <w:hyperlink r:id="rId18" w:history="1">
        <w:r w:rsidR="006A0D68" w:rsidRPr="006A0D68">
          <w:rPr>
            <w:rStyle w:val="Hyperlink"/>
            <w:rFonts w:cs="Tahoma"/>
          </w:rPr>
          <w:t>Examining Board Code of Practice</w:t>
        </w:r>
      </w:hyperlink>
      <w:r w:rsidR="00F90823" w:rsidRPr="00F90823">
        <w:rPr>
          <w:bCs/>
        </w:rPr>
        <w:t>)</w:t>
      </w:r>
      <w:r w:rsidRPr="00C1359B">
        <w:t xml:space="preserve">. </w:t>
      </w:r>
    </w:p>
    <w:p w14:paraId="18A985DE" w14:textId="77777777" w:rsidR="006A0D68" w:rsidRDefault="006A0D68" w:rsidP="00F90823">
      <w:pPr>
        <w:pStyle w:val="MainText"/>
      </w:pPr>
    </w:p>
    <w:p w14:paraId="3A8154BD" w14:textId="296CDC23" w:rsidR="006A0D68" w:rsidRPr="001837EA" w:rsidRDefault="00E06E5E" w:rsidP="00C51F13">
      <w:pPr>
        <w:pStyle w:val="MainText"/>
      </w:pPr>
      <w:r w:rsidRPr="00C51F13">
        <w:t>It is the Award Board’s</w:t>
      </w:r>
      <w:r w:rsidR="006A0D68" w:rsidRPr="00C51F13">
        <w:t xml:space="preserve"> responsibility to consider and agree the </w:t>
      </w:r>
      <w:r w:rsidR="003F0A4D" w:rsidRPr="00C51F13">
        <w:t>best</w:t>
      </w:r>
      <w:r w:rsidR="006A0D68" w:rsidRPr="00C51F13">
        <w:t xml:space="preserve"> course of action for the student i.e. in this case whether the 80% rule can be offered to a student.</w:t>
      </w:r>
      <w:r w:rsidRPr="00C51F13">
        <w:t xml:space="preserve"> This responsibility should not be delegated.</w:t>
      </w:r>
    </w:p>
    <w:p w14:paraId="0E9CAE41" w14:textId="77777777" w:rsidR="00B94E0D" w:rsidRDefault="00B94E0D" w:rsidP="004551C6">
      <w:pPr>
        <w:pStyle w:val="MainText"/>
        <w:rPr>
          <w:i/>
        </w:rPr>
      </w:pPr>
    </w:p>
    <w:p w14:paraId="2BD5B40E" w14:textId="77777777" w:rsidR="00B94E0D" w:rsidRPr="00176E3F" w:rsidRDefault="00B94E0D" w:rsidP="004551C6">
      <w:pPr>
        <w:pStyle w:val="MainText"/>
      </w:pPr>
      <w:r w:rsidRPr="00832643">
        <w:rPr>
          <w:b/>
        </w:rPr>
        <w:t>The 80% rule should only be applied by an Award Board at the point of granting the final award</w:t>
      </w:r>
      <w:r w:rsidRPr="00176E3F">
        <w:t>. The rule should not be applied at a progression point at the end of a level or an academic year.  However, it may be used to grant an intermediate award where a student has stated in writing that they wish to withdraw and claim the intermediate award, or due to failing a compulsory module/s they are no longer able to continue on the highest level of award.</w:t>
      </w:r>
    </w:p>
    <w:p w14:paraId="406938A7" w14:textId="77777777" w:rsidR="00B94E0D" w:rsidRDefault="00B94E0D" w:rsidP="004551C6">
      <w:pPr>
        <w:pStyle w:val="MainText"/>
        <w:rPr>
          <w:b/>
          <w:color w:val="FF0000"/>
        </w:rPr>
      </w:pPr>
    </w:p>
    <w:p w14:paraId="1FAF4805" w14:textId="77777777" w:rsidR="00B94E0D" w:rsidRPr="00B8391F" w:rsidRDefault="00B94E0D" w:rsidP="004551C6">
      <w:pPr>
        <w:pStyle w:val="MainText"/>
      </w:pPr>
      <w:r w:rsidRPr="00B8391F">
        <w:t xml:space="preserve">When considering cases under the 80% rule, boards should look at the whole profile of the student and determine whether they have sufficient evidence of academic achievement in all the key areas of study for the particular award; that there are no significant gaps in the knowledge base for that award and that, but for the </w:t>
      </w:r>
      <w:r w:rsidR="00C30BBA">
        <w:t>personal circumstances</w:t>
      </w:r>
      <w:r w:rsidRPr="00B8391F">
        <w:t>, the student would have achieved all the necessary credits.  If so, boards may allow the award including in cases where the student has a profile containing Prior Certificated Learning (Accredited Learning) and / or Prior Experiential Learning (Accredited Experiential Learning).</w:t>
      </w:r>
    </w:p>
    <w:p w14:paraId="226AAA21" w14:textId="77777777" w:rsidR="00B94E0D" w:rsidRDefault="00B94E0D" w:rsidP="004551C6">
      <w:pPr>
        <w:pStyle w:val="MainText"/>
        <w:rPr>
          <w:b/>
          <w:color w:val="FF0000"/>
        </w:rPr>
      </w:pPr>
    </w:p>
    <w:p w14:paraId="710D844F" w14:textId="77777777" w:rsidR="00B94E0D" w:rsidRPr="00C1359B" w:rsidRDefault="00B94E0D" w:rsidP="004551C6">
      <w:pPr>
        <w:pStyle w:val="MainText"/>
      </w:pPr>
      <w:r w:rsidRPr="00C1359B">
        <w:t xml:space="preserve">For a module to be considered eligible for consideration the </w:t>
      </w:r>
      <w:r w:rsidR="00C30BBA">
        <w:t>personal circumstances</w:t>
      </w:r>
      <w:r w:rsidRPr="00C1359B">
        <w:t xml:space="preserve"> must be accepted but they do not have to be against the failed component. </w:t>
      </w:r>
    </w:p>
    <w:p w14:paraId="2E99C01D" w14:textId="77777777" w:rsidR="00B94E0D" w:rsidRDefault="00B94E0D" w:rsidP="004551C6">
      <w:pPr>
        <w:pStyle w:val="MainText"/>
      </w:pPr>
    </w:p>
    <w:p w14:paraId="5B6BE449" w14:textId="77777777" w:rsidR="00B94E0D" w:rsidRPr="00C1359B" w:rsidRDefault="00B94E0D" w:rsidP="00792A60">
      <w:pPr>
        <w:pStyle w:val="Bulletpointstyle"/>
      </w:pPr>
      <w:r w:rsidRPr="00C1359B">
        <w:t>The 80% rule cannot be applied retrospectively.</w:t>
      </w:r>
    </w:p>
    <w:p w14:paraId="5521B6DC" w14:textId="77777777" w:rsidR="00B94E0D" w:rsidRPr="003D71EE" w:rsidRDefault="00B94E0D" w:rsidP="00792A60">
      <w:pPr>
        <w:pStyle w:val="Bulletpointstyle"/>
      </w:pPr>
      <w:r w:rsidRPr="003D71EE">
        <w:t>Students wi</w:t>
      </w:r>
      <w:r w:rsidR="00DE3B8F" w:rsidRPr="003D71EE">
        <w:t xml:space="preserve">ll be written to with an offer and </w:t>
      </w:r>
      <w:r w:rsidRPr="003D71EE">
        <w:t xml:space="preserve">a deadline for reply.  </w:t>
      </w:r>
      <w:r w:rsidR="00DE3B8F" w:rsidRPr="003D71EE">
        <w:t>If there is no response, t</w:t>
      </w:r>
      <w:r w:rsidRPr="003D71EE">
        <w:t>he default position is that the student is given the award.</w:t>
      </w:r>
      <w:r w:rsidR="00F86CB3" w:rsidRPr="003D71EE">
        <w:t xml:space="preserve"> </w:t>
      </w:r>
    </w:p>
    <w:p w14:paraId="0970F6CF" w14:textId="77777777" w:rsidR="00B94E0D" w:rsidRDefault="00B94E0D" w:rsidP="00792A60">
      <w:pPr>
        <w:pStyle w:val="Bulletpointstyle"/>
      </w:pPr>
      <w:r w:rsidRPr="003D71EE">
        <w:t>Students have the right to refuse an offer and take up any remaining assessment opportunities for the module(s) in question, or to nominate another module when appropriate.</w:t>
      </w:r>
    </w:p>
    <w:p w14:paraId="4DB9115B" w14:textId="7574628D" w:rsidR="001837EA" w:rsidRDefault="00B94E0D" w:rsidP="001837EA">
      <w:pPr>
        <w:pStyle w:val="Bulletpointstyle"/>
      </w:pPr>
      <w:r w:rsidRPr="003D71EE">
        <w:t xml:space="preserve">In advance of the Board if a student is identified as potentially being in this </w:t>
      </w:r>
      <w:r w:rsidRPr="001837EA">
        <w:t xml:space="preserve">position when checking the reports, the </w:t>
      </w:r>
      <w:r w:rsidR="00F86CB3" w:rsidRPr="001837EA">
        <w:t>Student Administration Team</w:t>
      </w:r>
      <w:r w:rsidRPr="001837EA">
        <w:t xml:space="preserve"> can produce a ‘What If?’ scenario from </w:t>
      </w:r>
      <w:r w:rsidR="009F237D">
        <w:t>the record system</w:t>
      </w:r>
      <w:r w:rsidRPr="001837EA">
        <w:t>, complete with a classification calculation omitting the excused module.</w:t>
      </w:r>
    </w:p>
    <w:p w14:paraId="0CF5A1E1" w14:textId="77777777" w:rsidR="00C85F7F" w:rsidRDefault="00C85F7F" w:rsidP="00C85F7F">
      <w:pPr>
        <w:pStyle w:val="Bulletpointstyle"/>
        <w:numPr>
          <w:ilvl w:val="0"/>
          <w:numId w:val="0"/>
        </w:numPr>
        <w:ind w:left="227" w:hanging="227"/>
      </w:pPr>
    </w:p>
    <w:p w14:paraId="4FDBA5B3" w14:textId="77777777" w:rsidR="00EA2403" w:rsidRPr="001837EA" w:rsidRDefault="00B94E0D" w:rsidP="001837EA">
      <w:pPr>
        <w:pStyle w:val="Bulletpointstyle"/>
      </w:pPr>
      <w:r w:rsidRPr="001837EA">
        <w:lastRenderedPageBreak/>
        <w:t>If a student latterly returns to register on a higher level award after accepting a lower level award with credit exemption, they will be required to make up the credit which they had not passed at</w:t>
      </w:r>
      <w:r w:rsidRPr="003D71EE">
        <w:t xml:space="preserve"> the lower level.  For example, where a student is awarded a Foundation degree or a Dip HE with credit exemption but then wishes to return to work towards an honours degree they will </w:t>
      </w:r>
      <w:r w:rsidRPr="001837EA">
        <w:rPr>
          <w:b/>
        </w:rPr>
        <w:t>also</w:t>
      </w:r>
      <w:r w:rsidRPr="003D71EE">
        <w:t xml:space="preserve"> need to pass the exempted credit as it will still be showing as </w:t>
      </w:r>
      <w:r w:rsidR="00897A3A" w:rsidRPr="003D71EE">
        <w:t>‘</w:t>
      </w:r>
      <w:r w:rsidRPr="003D71EE">
        <w:t>not achieved</w:t>
      </w:r>
      <w:r w:rsidR="00897A3A" w:rsidRPr="003D71EE">
        <w:t>’</w:t>
      </w:r>
      <w:r w:rsidRPr="003D71EE">
        <w:t xml:space="preserve"> on their record.</w:t>
      </w:r>
      <w:bookmarkStart w:id="16" w:name="_Toc420923461"/>
      <w:r w:rsidR="00EA2403" w:rsidRPr="001837EA">
        <w:rPr>
          <w:b/>
          <w:color w:val="FFFFFF" w:themeColor="background1"/>
          <w:sz w:val="28"/>
          <w:szCs w:val="28"/>
        </w:rPr>
        <w:br w:type="page"/>
      </w:r>
    </w:p>
    <w:p w14:paraId="3870B578" w14:textId="77777777" w:rsidR="00B94E0D" w:rsidRPr="0038229F" w:rsidRDefault="00B94E0D" w:rsidP="00B94E0D">
      <w:pPr>
        <w:shd w:val="clear" w:color="auto" w:fill="BF8F00" w:themeFill="accent4" w:themeFillShade="BF"/>
        <w:rPr>
          <w:b/>
          <w:color w:val="FFFFFF" w:themeColor="background1"/>
          <w:sz w:val="28"/>
          <w:szCs w:val="28"/>
        </w:rPr>
      </w:pPr>
      <w:r w:rsidRPr="0038229F">
        <w:rPr>
          <w:b/>
          <w:color w:val="FFFFFF" w:themeColor="background1"/>
          <w:sz w:val="28"/>
          <w:szCs w:val="28"/>
        </w:rPr>
        <w:lastRenderedPageBreak/>
        <w:t>AWARD BOARD – CONDONED CREDIT</w:t>
      </w:r>
    </w:p>
    <w:p w14:paraId="56EE9695" w14:textId="77777777" w:rsidR="00B94E0D" w:rsidRDefault="00355291" w:rsidP="004551C6">
      <w:pPr>
        <w:pStyle w:val="Subtitle"/>
      </w:pPr>
      <w:bookmarkStart w:id="17" w:name="_Toc440026549"/>
      <w:r>
        <w:t>Condoing</w:t>
      </w:r>
      <w:r w:rsidR="00B94E0D" w:rsidRPr="00245EE8">
        <w:t xml:space="preserve"> failed credit</w:t>
      </w:r>
      <w:bookmarkEnd w:id="16"/>
      <w:bookmarkEnd w:id="17"/>
    </w:p>
    <w:p w14:paraId="1A13B1BD" w14:textId="77777777" w:rsidR="00B94E0D" w:rsidRPr="0056445A" w:rsidRDefault="00B94E0D" w:rsidP="00B94E0D"/>
    <w:p w14:paraId="009670D0" w14:textId="77777777" w:rsidR="00E06E5E" w:rsidRPr="00E06E5E" w:rsidRDefault="00B94E0D" w:rsidP="004551C6">
      <w:pPr>
        <w:pStyle w:val="MainText"/>
      </w:pPr>
      <w:r w:rsidRPr="00E06E5E">
        <w:t xml:space="preserve">Award Boards </w:t>
      </w:r>
      <w:r w:rsidR="00355291" w:rsidRPr="00E06E5E">
        <w:t>are able to</w:t>
      </w:r>
      <w:r w:rsidRPr="00E06E5E">
        <w:t xml:space="preserve"> condone failed credit</w:t>
      </w:r>
      <w:r w:rsidR="006A0D68" w:rsidRPr="00E06E5E">
        <w:t xml:space="preserve">. </w:t>
      </w:r>
    </w:p>
    <w:p w14:paraId="2672842D" w14:textId="77777777" w:rsidR="00E06E5E" w:rsidRDefault="00E06E5E" w:rsidP="004551C6">
      <w:pPr>
        <w:pStyle w:val="MainText"/>
        <w:rPr>
          <w:b/>
          <w:shd w:val="clear" w:color="auto" w:fill="FFFF00"/>
        </w:rPr>
      </w:pPr>
    </w:p>
    <w:p w14:paraId="12457710" w14:textId="15755731" w:rsidR="00B94E0D" w:rsidRPr="00E06E5E" w:rsidRDefault="006A0D68" w:rsidP="00C51F13">
      <w:pPr>
        <w:pStyle w:val="MainText"/>
      </w:pPr>
      <w:r w:rsidRPr="00E06E5E">
        <w:t>It is the Award Board</w:t>
      </w:r>
      <w:r w:rsidR="00E06E5E">
        <w:t>’</w:t>
      </w:r>
      <w:r w:rsidRPr="00E06E5E">
        <w:t xml:space="preserve">s responsibility to consider and agree the </w:t>
      </w:r>
      <w:r w:rsidR="00E06E5E">
        <w:t>best</w:t>
      </w:r>
      <w:r w:rsidRPr="00E06E5E">
        <w:t xml:space="preserve"> course of action for the student, i.e. in this case whether a module can be condoned. Cond</w:t>
      </w:r>
      <w:r w:rsidR="001837EA" w:rsidRPr="00E06E5E">
        <w:t>on</w:t>
      </w:r>
      <w:r w:rsidRPr="00E06E5E">
        <w:t xml:space="preserve">ing failed credit is not an offer, and </w:t>
      </w:r>
      <w:r w:rsidR="00E06E5E">
        <w:t>its application should not be negotiated with the student.</w:t>
      </w:r>
    </w:p>
    <w:p w14:paraId="0DF54F16" w14:textId="77777777" w:rsidR="00B94E0D" w:rsidRPr="001837EA" w:rsidRDefault="00B94E0D" w:rsidP="004551C6">
      <w:pPr>
        <w:pStyle w:val="MainText"/>
      </w:pPr>
    </w:p>
    <w:p w14:paraId="16E7A58C" w14:textId="77777777" w:rsidR="00B94E0D" w:rsidRPr="002C3C9F" w:rsidRDefault="0092421C" w:rsidP="00E06E5E">
      <w:pPr>
        <w:pStyle w:val="MainText"/>
      </w:pPr>
      <w:r w:rsidRPr="00E06E5E">
        <w:rPr>
          <w:b/>
        </w:rPr>
        <w:t>E4</w:t>
      </w:r>
      <w:r w:rsidRPr="00E06E5E">
        <w:t>.</w:t>
      </w:r>
      <w:r w:rsidR="00EA2403" w:rsidRPr="00E06E5E">
        <w:t xml:space="preserve"> </w:t>
      </w:r>
      <w:r w:rsidR="00B94E0D" w:rsidRPr="00E06E5E">
        <w:t>Except where statutory or professional bodies require otherwise, any marginal failure (i.e. a module outcome with a mark of 37% or greater at levels 0 – 3 / FHEQ levels 3-6; 47% or greater at M level /FHEQ level 7) may be condoned by award boards as follows, provided students have passed modules worth a minimum of 90 credits at the same level or above</w:t>
      </w:r>
      <w:r w:rsidRPr="00E06E5E">
        <w:t xml:space="preserve"> and the learning outcomes of the module have been met</w:t>
      </w:r>
      <w:r w:rsidR="00B94E0D" w:rsidRPr="00E06E5E">
        <w:t>:</w:t>
      </w:r>
      <w:r w:rsidR="00B94E0D" w:rsidRPr="002C3C9F">
        <w:t xml:space="preserve"> </w:t>
      </w:r>
    </w:p>
    <w:p w14:paraId="4FC69D93" w14:textId="77777777" w:rsidR="00B94E0D" w:rsidRPr="00C311C4" w:rsidRDefault="00B94E0D" w:rsidP="00B94E0D">
      <w:pPr>
        <w:pStyle w:val="ListParagraph"/>
        <w:spacing w:after="0"/>
        <w:rPr>
          <w:b/>
          <w:sz w:val="20"/>
          <w:szCs w:val="20"/>
        </w:rPr>
      </w:pPr>
    </w:p>
    <w:p w14:paraId="1197EAF5" w14:textId="77777777" w:rsidR="00B94E0D" w:rsidRPr="00C311C4" w:rsidRDefault="00B94E0D" w:rsidP="00792A60">
      <w:pPr>
        <w:pStyle w:val="Bulletpointstyle"/>
      </w:pPr>
      <w:r w:rsidRPr="00C311C4">
        <w:t>a maximum of 30 credits at level 0</w:t>
      </w:r>
    </w:p>
    <w:p w14:paraId="0C1D6D02" w14:textId="77777777" w:rsidR="00B94E0D" w:rsidRPr="00C311C4" w:rsidRDefault="00B94E0D" w:rsidP="00792A60">
      <w:pPr>
        <w:pStyle w:val="Bulletpointstyle"/>
      </w:pPr>
      <w:r w:rsidRPr="00C311C4">
        <w:t>a maximum of 30 credits at level 1</w:t>
      </w:r>
    </w:p>
    <w:p w14:paraId="5FEB9B73" w14:textId="77777777" w:rsidR="00B94E0D" w:rsidRDefault="00B94E0D" w:rsidP="00792A60">
      <w:pPr>
        <w:pStyle w:val="Bulletpointstyle"/>
      </w:pPr>
      <w:r w:rsidRPr="00C311C4">
        <w:t>But overall a maximum of 30 credits can be condoned at levels 0 and 1</w:t>
      </w:r>
    </w:p>
    <w:p w14:paraId="6CB76DAE" w14:textId="77777777" w:rsidR="00BB5573" w:rsidRPr="00C311C4" w:rsidRDefault="00BB5573" w:rsidP="00792A60">
      <w:pPr>
        <w:pStyle w:val="Bulletpointstyle"/>
        <w:numPr>
          <w:ilvl w:val="0"/>
          <w:numId w:val="0"/>
        </w:numPr>
      </w:pPr>
    </w:p>
    <w:p w14:paraId="53F7A36C" w14:textId="77777777" w:rsidR="00B94E0D" w:rsidRPr="00C311C4" w:rsidRDefault="00B94E0D" w:rsidP="00792A60">
      <w:pPr>
        <w:pStyle w:val="Bulletpointstyle"/>
      </w:pPr>
      <w:r w:rsidRPr="00C311C4">
        <w:t>a maximum of 30 credits at level 2</w:t>
      </w:r>
    </w:p>
    <w:p w14:paraId="5E453FC6" w14:textId="77777777" w:rsidR="00B94E0D" w:rsidRPr="00C311C4" w:rsidRDefault="00B94E0D" w:rsidP="00792A60">
      <w:pPr>
        <w:pStyle w:val="Bulletpointstyle"/>
      </w:pPr>
      <w:r w:rsidRPr="00C311C4">
        <w:t>a maximum of 30 credits at level 3</w:t>
      </w:r>
    </w:p>
    <w:p w14:paraId="21AC6B18" w14:textId="77777777" w:rsidR="00B94E0D" w:rsidRDefault="00B94E0D" w:rsidP="00792A60">
      <w:pPr>
        <w:pStyle w:val="Bulletpointstyle"/>
      </w:pPr>
      <w:r w:rsidRPr="00C311C4">
        <w:t>But overall a maximum of 45 credits can be condoned at levels 2 and 3</w:t>
      </w:r>
    </w:p>
    <w:p w14:paraId="6E953B3A" w14:textId="77777777" w:rsidR="00BB5573" w:rsidRPr="00C311C4" w:rsidRDefault="00BB5573" w:rsidP="00792A60">
      <w:pPr>
        <w:pStyle w:val="Bulletpointstyle"/>
        <w:numPr>
          <w:ilvl w:val="0"/>
          <w:numId w:val="0"/>
        </w:numPr>
      </w:pPr>
    </w:p>
    <w:p w14:paraId="6E0E1328" w14:textId="77777777" w:rsidR="00B94E0D" w:rsidRPr="00C311C4" w:rsidRDefault="00B94E0D" w:rsidP="00792A60">
      <w:pPr>
        <w:pStyle w:val="Bulletpointstyle"/>
      </w:pPr>
      <w:r w:rsidRPr="00C311C4">
        <w:t>a maximum of 30 credits at M level</w:t>
      </w:r>
    </w:p>
    <w:p w14:paraId="2D01E5BC" w14:textId="77777777" w:rsidR="0092421C" w:rsidRDefault="0092421C" w:rsidP="00C502E3">
      <w:pPr>
        <w:pStyle w:val="Bulletpointstyle"/>
        <w:numPr>
          <w:ilvl w:val="0"/>
          <w:numId w:val="0"/>
        </w:numPr>
      </w:pPr>
    </w:p>
    <w:p w14:paraId="3CD72F0B" w14:textId="77777777" w:rsidR="00B94E0D" w:rsidRPr="00C311C4" w:rsidRDefault="00B94E0D" w:rsidP="00C502E3">
      <w:pPr>
        <w:pStyle w:val="Bulletpointstyle"/>
        <w:numPr>
          <w:ilvl w:val="0"/>
          <w:numId w:val="0"/>
        </w:numPr>
      </w:pPr>
      <w:r w:rsidRPr="00C311C4">
        <w:t>All decisions to condone are final.</w:t>
      </w:r>
      <w:r w:rsidR="0092421C">
        <w:t xml:space="preserve"> There can be no retrospective condonation of a failed mark even if the minimum credit requirements are met at a later examination board.</w:t>
      </w:r>
    </w:p>
    <w:p w14:paraId="2634995B" w14:textId="77777777" w:rsidR="004551C6" w:rsidRPr="0056445A" w:rsidRDefault="004551C6" w:rsidP="00792A60">
      <w:pPr>
        <w:pStyle w:val="Bulletpointstyle"/>
        <w:numPr>
          <w:ilvl w:val="0"/>
          <w:numId w:val="0"/>
        </w:numPr>
        <w:ind w:left="227"/>
      </w:pPr>
    </w:p>
    <w:p w14:paraId="4AEC022A" w14:textId="46AD02D1" w:rsidR="00B94E0D" w:rsidRDefault="001105CA" w:rsidP="00792A60">
      <w:pPr>
        <w:pStyle w:val="Bulletpointstyle"/>
        <w:numPr>
          <w:ilvl w:val="0"/>
          <w:numId w:val="0"/>
        </w:numPr>
      </w:pPr>
      <w:r>
        <w:t>Chair</w:t>
      </w:r>
      <w:r w:rsidR="00B94E0D" w:rsidRPr="00245EE8">
        <w:t>s are asked to consider whether condoning failure is in the student’s best interests taking the following into account</w:t>
      </w:r>
      <w:r w:rsidR="00B94E0D">
        <w:t>:</w:t>
      </w:r>
    </w:p>
    <w:p w14:paraId="5B1BD162" w14:textId="77777777" w:rsidR="00EA2403" w:rsidRPr="00245EE8" w:rsidRDefault="00EA2403" w:rsidP="00792A60">
      <w:pPr>
        <w:pStyle w:val="Bulletpointstyle"/>
        <w:numPr>
          <w:ilvl w:val="0"/>
          <w:numId w:val="0"/>
        </w:numPr>
      </w:pPr>
    </w:p>
    <w:p w14:paraId="553C8B6B" w14:textId="77777777" w:rsidR="00B94E0D" w:rsidRPr="00BB5573" w:rsidRDefault="00B94E0D" w:rsidP="00792A60">
      <w:pPr>
        <w:pStyle w:val="Bulletpointstyle"/>
      </w:pPr>
      <w:r w:rsidRPr="000743CB">
        <w:t>Whether the student has a resit or retake o</w:t>
      </w:r>
      <w:r>
        <w:t>pportunity that could be taken.</w:t>
      </w:r>
    </w:p>
    <w:p w14:paraId="0EBD7A84" w14:textId="77777777" w:rsidR="00B94E0D" w:rsidRPr="00BB5573" w:rsidRDefault="00B94E0D" w:rsidP="00792A60">
      <w:pPr>
        <w:pStyle w:val="Bulletpointstyle"/>
      </w:pPr>
      <w:r w:rsidRPr="00026905">
        <w:t>The member of staff presenting the student’s profile must be able to assure the board that the module learning outcomes have been met.</w:t>
      </w:r>
      <w:r w:rsidR="00523A08" w:rsidRPr="00BB5573">
        <w:t xml:space="preserve"> </w:t>
      </w:r>
      <w:r w:rsidR="00523A08" w:rsidRPr="007E1B57">
        <w:t xml:space="preserve">If the learning outcomes cannot be met by other modules on the programme then the module should not be condoned. </w:t>
      </w:r>
      <w:r w:rsidRPr="007E1B57">
        <w:t xml:space="preserve">  </w:t>
      </w:r>
    </w:p>
    <w:p w14:paraId="1611C9FC" w14:textId="77777777" w:rsidR="00B94E0D" w:rsidRPr="00897A3A" w:rsidRDefault="00B94E0D" w:rsidP="00792A60">
      <w:pPr>
        <w:pStyle w:val="Bulletpointstyle"/>
      </w:pPr>
      <w:r w:rsidRPr="00026905">
        <w:lastRenderedPageBreak/>
        <w:t>The Clerk to the Board should ensure that a full record of the discussion is minuted, including the outcome and whether assurance has been given that the learning outcomes have been met.</w:t>
      </w:r>
    </w:p>
    <w:p w14:paraId="437E8C95" w14:textId="77777777" w:rsidR="00B94E0D" w:rsidRDefault="00B94E0D" w:rsidP="00792A60">
      <w:pPr>
        <w:pStyle w:val="Bulletpointstyle"/>
      </w:pPr>
      <w:r>
        <w:t>Even if</w:t>
      </w:r>
      <w:r w:rsidRPr="000743CB">
        <w:t xml:space="preserve"> the </w:t>
      </w:r>
      <w:r>
        <w:t>module</w:t>
      </w:r>
      <w:r w:rsidRPr="000743CB">
        <w:t xml:space="preserve"> does not count towards the award overall </w:t>
      </w:r>
      <w:r>
        <w:t>it will still</w:t>
      </w:r>
      <w:r w:rsidRPr="000743CB">
        <w:t xml:space="preserve"> use up some of the maximum amount of credit tha</w:t>
      </w:r>
      <w:r>
        <w:t>t it is possible to condone.</w:t>
      </w:r>
    </w:p>
    <w:p w14:paraId="68E40745" w14:textId="77777777" w:rsidR="00C311C4" w:rsidRDefault="00B94E0D" w:rsidP="00792A60">
      <w:pPr>
        <w:pStyle w:val="Bulletpointstyle"/>
      </w:pPr>
      <w:r w:rsidRPr="000218A6">
        <w:t>Condo</w:t>
      </w:r>
      <w:r>
        <w:t>n</w:t>
      </w:r>
      <w:r w:rsidRPr="000218A6">
        <w:t xml:space="preserve">ing credit at a lower level may mean it is not possible to condone at a higher level </w:t>
      </w:r>
      <w:r>
        <w:t>if the overall maximum will then be exceeded.</w:t>
      </w:r>
    </w:p>
    <w:p w14:paraId="0EF7C56D" w14:textId="77777777" w:rsidR="00C311C4" w:rsidRDefault="00C311C4" w:rsidP="00792A60">
      <w:pPr>
        <w:pStyle w:val="Bulletpointstyle"/>
      </w:pPr>
      <w:r>
        <w:t>Whilst credit awarde</w:t>
      </w:r>
      <w:r w:rsidR="003E6A5C">
        <w:t xml:space="preserve">d as </w:t>
      </w:r>
      <w:r>
        <w:t>accredited learning / ac</w:t>
      </w:r>
      <w:r w:rsidR="003E6A5C">
        <w:t xml:space="preserve">credited experiential learning </w:t>
      </w:r>
      <w:r>
        <w:t>does count towards the credit total for an award, a Board may wish to consider carefully whether it condones a module for a student who has a profile which includes a significant proportion of this type of credit.</w:t>
      </w:r>
    </w:p>
    <w:p w14:paraId="525D9487" w14:textId="77777777" w:rsidR="00C311C4" w:rsidRDefault="00C311C4" w:rsidP="00792A60">
      <w:pPr>
        <w:pStyle w:val="Bulletpointstyle"/>
      </w:pPr>
      <w:r>
        <w:t>Condoning module failure should not be considered on the basis of passed outcomes at a lower level than that of the failed outcome. However, performance at a higher level can be used in determining whether condonation can be considered.</w:t>
      </w:r>
    </w:p>
    <w:p w14:paraId="6B17E624" w14:textId="77777777" w:rsidR="00B94E0D" w:rsidRDefault="00C311C4" w:rsidP="004551C6">
      <w:pPr>
        <w:pStyle w:val="Bulletpointstyle"/>
      </w:pPr>
      <w:r>
        <w:t>If a failed module is presented as an overall fail without resit or retake opportunity the Award Board is reminded that, providing the failed mark falls within the ranges specified by the regulations, a decision to condone failure will overturn the fail.</w:t>
      </w:r>
    </w:p>
    <w:p w14:paraId="0EE4F0E3" w14:textId="77777777" w:rsidR="003E6A5C" w:rsidRDefault="003E6A5C" w:rsidP="003E6A5C">
      <w:pPr>
        <w:pStyle w:val="Subtitle"/>
      </w:pPr>
      <w:r>
        <w:t>Component marks and condoned credit</w:t>
      </w:r>
    </w:p>
    <w:p w14:paraId="7FF9E70A" w14:textId="77777777" w:rsidR="003E6A5C" w:rsidRDefault="003E6A5C" w:rsidP="003E6A5C">
      <w:pPr>
        <w:pStyle w:val="MainText"/>
      </w:pPr>
      <w:r w:rsidRPr="00222E06">
        <w:t xml:space="preserve">There is no imperative for Award Boards to refer to </w:t>
      </w:r>
      <w:r>
        <w:t xml:space="preserve">individual </w:t>
      </w:r>
      <w:r w:rsidRPr="00222E06">
        <w:t xml:space="preserve">component marks before making any decision to condone credit.  </w:t>
      </w:r>
      <w:r>
        <w:t>Any</w:t>
      </w:r>
      <w:r w:rsidRPr="00222E06">
        <w:t xml:space="preserve"> failed credit with a mark of 37% or greater (levels 0-3) or 47% or greater (level M) can be considered under the terms of the regulation. </w:t>
      </w:r>
    </w:p>
    <w:p w14:paraId="31215BC7" w14:textId="77777777" w:rsidR="003E6A5C" w:rsidRDefault="003E6A5C" w:rsidP="003E6A5C">
      <w:pPr>
        <w:pStyle w:val="MainText"/>
      </w:pPr>
    </w:p>
    <w:p w14:paraId="67CA9F8E" w14:textId="77777777" w:rsidR="003E6A5C" w:rsidRPr="003E6A5C" w:rsidRDefault="003E6A5C" w:rsidP="003E6A5C">
      <w:pPr>
        <w:pStyle w:val="MainText"/>
        <w:rPr>
          <w:b/>
        </w:rPr>
      </w:pPr>
      <w:r w:rsidRPr="003E6A5C">
        <w:rPr>
          <w:b/>
        </w:rPr>
        <w:t>Illustrative examples</w:t>
      </w:r>
    </w:p>
    <w:p w14:paraId="6358089D" w14:textId="77777777" w:rsidR="003E6A5C" w:rsidRPr="00245EE8" w:rsidRDefault="003E6A5C" w:rsidP="003E6A5C">
      <w:pPr>
        <w:pStyle w:val="MainText"/>
      </w:pPr>
    </w:p>
    <w:p w14:paraId="434F5CCE" w14:textId="77777777" w:rsidR="003E6A5C" w:rsidRPr="00245EE8" w:rsidRDefault="003E6A5C" w:rsidP="003E6A5C">
      <w:pPr>
        <w:pStyle w:val="MainText"/>
      </w:pPr>
      <w:r w:rsidRPr="00245EE8">
        <w:t>In each e</w:t>
      </w:r>
      <w:r>
        <w:t xml:space="preserve">xample the module is level 0-3 </w:t>
      </w:r>
      <w:r w:rsidRPr="00245EE8">
        <w:t>and the</w:t>
      </w:r>
      <w:r w:rsidR="0042690A">
        <w:t xml:space="preserve"> </w:t>
      </w:r>
      <w:r w:rsidR="00363FE0">
        <w:t>weighting between</w:t>
      </w:r>
      <w:r w:rsidRPr="00245EE8">
        <w:t xml:space="preserve"> component </w:t>
      </w:r>
      <w:r w:rsidR="00363FE0">
        <w:t xml:space="preserve">A and Component B is </w:t>
      </w:r>
      <w:r w:rsidR="0042690A">
        <w:t>25:75</w:t>
      </w:r>
    </w:p>
    <w:p w14:paraId="56A828A5" w14:textId="77777777" w:rsidR="003E6A5C" w:rsidRPr="00245EE8" w:rsidRDefault="003E6A5C" w:rsidP="003E6A5C">
      <w:pPr>
        <w:pStyle w:val="MainText"/>
      </w:pPr>
    </w:p>
    <w:p w14:paraId="0C2C2BAB" w14:textId="77777777" w:rsidR="003E6A5C" w:rsidRPr="00245EE8" w:rsidRDefault="003E6A5C" w:rsidP="003E6A5C">
      <w:pPr>
        <w:pStyle w:val="MainText"/>
      </w:pPr>
      <w:r w:rsidRPr="00245EE8">
        <w:t xml:space="preserve">Comp A = 75%, Comp B = 15% </w:t>
      </w:r>
    </w:p>
    <w:p w14:paraId="1593FDEA" w14:textId="77777777" w:rsidR="003E6A5C" w:rsidRPr="00245EE8" w:rsidRDefault="003E6A5C" w:rsidP="003E6A5C">
      <w:pPr>
        <w:pStyle w:val="MainText"/>
      </w:pPr>
      <w:r w:rsidRPr="00245EE8">
        <w:t xml:space="preserve">Overall Mark = 30%, Decision = 1RB </w:t>
      </w:r>
    </w:p>
    <w:p w14:paraId="6980B5B9" w14:textId="77777777" w:rsidR="003E6A5C" w:rsidRPr="00245EE8" w:rsidRDefault="003E6A5C" w:rsidP="003E6A5C">
      <w:pPr>
        <w:pStyle w:val="MainText"/>
      </w:pPr>
      <w:r w:rsidRPr="00245EE8">
        <w:t>This failure should not be condoned as the overall mark is less than 37%</w:t>
      </w:r>
    </w:p>
    <w:p w14:paraId="09C8717F" w14:textId="77777777" w:rsidR="003E6A5C" w:rsidRPr="00245EE8" w:rsidRDefault="003E6A5C" w:rsidP="003E6A5C">
      <w:pPr>
        <w:pStyle w:val="MainText"/>
      </w:pPr>
    </w:p>
    <w:p w14:paraId="69B6CF34" w14:textId="77777777" w:rsidR="003E6A5C" w:rsidRPr="00245EE8" w:rsidRDefault="003E6A5C" w:rsidP="003E6A5C">
      <w:pPr>
        <w:pStyle w:val="MainText"/>
      </w:pPr>
      <w:r w:rsidRPr="00245EE8">
        <w:t>Comp A = NS, Comp B = 100%</w:t>
      </w:r>
    </w:p>
    <w:p w14:paraId="2537F554" w14:textId="77777777" w:rsidR="003E6A5C" w:rsidRPr="00245EE8" w:rsidRDefault="003E6A5C" w:rsidP="003E6A5C">
      <w:pPr>
        <w:pStyle w:val="MainText"/>
      </w:pPr>
      <w:r w:rsidRPr="00245EE8">
        <w:t xml:space="preserve">Overall Mark = 75%. Decision = </w:t>
      </w:r>
      <w:r>
        <w:t>1RA</w:t>
      </w:r>
      <w:r w:rsidRPr="00245EE8">
        <w:t xml:space="preserve"> </w:t>
      </w:r>
    </w:p>
    <w:p w14:paraId="6ECB5F85" w14:textId="77777777" w:rsidR="003E6A5C" w:rsidRPr="00245EE8" w:rsidRDefault="003E6A5C" w:rsidP="003E6A5C">
      <w:pPr>
        <w:pStyle w:val="MainText"/>
      </w:pPr>
      <w:r w:rsidRPr="00245EE8">
        <w:t>This failure could be condoned as the overall mark is greater than 37%</w:t>
      </w:r>
    </w:p>
    <w:p w14:paraId="0B1C6083" w14:textId="77777777" w:rsidR="003E6A5C" w:rsidRPr="00245EE8" w:rsidRDefault="003E6A5C" w:rsidP="003E6A5C">
      <w:pPr>
        <w:pStyle w:val="ListParagraph"/>
        <w:spacing w:after="0"/>
        <w:ind w:left="1800"/>
        <w:rPr>
          <w:sz w:val="20"/>
          <w:szCs w:val="20"/>
        </w:rPr>
      </w:pPr>
    </w:p>
    <w:p w14:paraId="5AAF4A58" w14:textId="77777777" w:rsidR="003E6A5C" w:rsidRPr="00245EE8" w:rsidRDefault="003E6A5C" w:rsidP="003E6A5C">
      <w:pPr>
        <w:pStyle w:val="MainText"/>
      </w:pPr>
      <w:r w:rsidRPr="00245EE8">
        <w:t>Comp A = 10%, Comp B = 75%</w:t>
      </w:r>
    </w:p>
    <w:p w14:paraId="11C3FA1F" w14:textId="77777777" w:rsidR="003E6A5C" w:rsidRPr="00245EE8" w:rsidRDefault="003E6A5C" w:rsidP="003E6A5C">
      <w:pPr>
        <w:pStyle w:val="MainText"/>
      </w:pPr>
      <w:r w:rsidRPr="00245EE8">
        <w:t>Overall Mark = 59% (rounded up). Decision = 1RA</w:t>
      </w:r>
    </w:p>
    <w:p w14:paraId="265F3D2C" w14:textId="77777777" w:rsidR="003E6A5C" w:rsidRDefault="003E6A5C" w:rsidP="003E6A5C">
      <w:pPr>
        <w:pStyle w:val="MainText"/>
      </w:pPr>
      <w:r w:rsidRPr="00245EE8">
        <w:t>This failure could be condoned as the overall mark is greater than 37%</w:t>
      </w:r>
    </w:p>
    <w:p w14:paraId="2EBA8685" w14:textId="77777777" w:rsidR="003E6A5C" w:rsidRDefault="003E6A5C" w:rsidP="003E6A5C">
      <w:pPr>
        <w:pStyle w:val="MainText"/>
      </w:pPr>
    </w:p>
    <w:p w14:paraId="44C7655F" w14:textId="77777777" w:rsidR="003E6A5C" w:rsidRPr="003E6A5C" w:rsidRDefault="003E6A5C" w:rsidP="003E6A5C">
      <w:pPr>
        <w:pStyle w:val="MainText"/>
        <w:rPr>
          <w:b/>
        </w:rPr>
      </w:pPr>
      <w:r w:rsidRPr="004551C6">
        <w:rPr>
          <w:b/>
        </w:rPr>
        <w:lastRenderedPageBreak/>
        <w:t>Please note:</w:t>
      </w:r>
    </w:p>
    <w:p w14:paraId="3088CB2C" w14:textId="77777777" w:rsidR="003E6A5C" w:rsidRDefault="003E6A5C" w:rsidP="003E6A5C">
      <w:pPr>
        <w:ind w:left="360" w:firstLine="720"/>
        <w:rPr>
          <w:sz w:val="20"/>
        </w:rPr>
      </w:pPr>
    </w:p>
    <w:p w14:paraId="0AE732C6" w14:textId="77777777" w:rsidR="003E6A5C" w:rsidRPr="00792A60" w:rsidRDefault="0079401C" w:rsidP="00792A60">
      <w:pPr>
        <w:pStyle w:val="Bulletpointstyle"/>
      </w:pPr>
      <w:r>
        <w:t>The Award Board cannot consider modules for condonation with a lower overall module mark even if the student has personal circumstances accepted</w:t>
      </w:r>
      <w:r w:rsidR="003E6A5C" w:rsidRPr="00792A60">
        <w:t xml:space="preserve">. </w:t>
      </w:r>
    </w:p>
    <w:p w14:paraId="62939CF6" w14:textId="77777777" w:rsidR="003E6A5C" w:rsidRPr="000B3362" w:rsidRDefault="003E6A5C" w:rsidP="00792A60">
      <w:pPr>
        <w:pStyle w:val="Bulletpointstyle"/>
      </w:pPr>
      <w:r w:rsidRPr="000B3362">
        <w:t>Students who have committed an assessment offence and have received a penalty may still be considered for condonation should their profile suggest this is possible.</w:t>
      </w:r>
    </w:p>
    <w:p w14:paraId="53F96AB3" w14:textId="77777777" w:rsidR="003E6A5C" w:rsidRDefault="003E6A5C" w:rsidP="00792A60">
      <w:pPr>
        <w:pStyle w:val="Bulletpointstyle"/>
      </w:pPr>
      <w:r w:rsidRPr="000B3362">
        <w:t>Students are not permitted to submit an appeal in order to request condonation.</w:t>
      </w:r>
    </w:p>
    <w:p w14:paraId="227F2CFF" w14:textId="77777777" w:rsidR="00C311C4" w:rsidRDefault="003E6A5C" w:rsidP="00C311C4">
      <w:pPr>
        <w:pStyle w:val="Subtitle"/>
      </w:pPr>
      <w:r>
        <w:t xml:space="preserve">Impact of condoning credit </w:t>
      </w:r>
      <w:r w:rsidR="0079707C">
        <w:t>versus</w:t>
      </w:r>
      <w:r>
        <w:t xml:space="preserve"> allowing a resit</w:t>
      </w:r>
    </w:p>
    <w:p w14:paraId="03EDEF8F" w14:textId="77777777" w:rsidR="003E6A5C" w:rsidRDefault="00B94E0D" w:rsidP="004551C6">
      <w:pPr>
        <w:pStyle w:val="MainText"/>
      </w:pPr>
      <w:r w:rsidRPr="00C34392">
        <w:t xml:space="preserve">If a module has two components and the student passes one but not the other at the first sit, the mark for the passed component is carried forward to the resit and the mark for the referred component will be capped at 40% (levels 0-3).  This results in a partially capped module mark (one component is capped, one is not).  </w:t>
      </w:r>
    </w:p>
    <w:p w14:paraId="5A0BE7E9" w14:textId="77777777" w:rsidR="003E6A5C" w:rsidRDefault="003E6A5C" w:rsidP="004551C6">
      <w:pPr>
        <w:pStyle w:val="MainText"/>
      </w:pPr>
    </w:p>
    <w:p w14:paraId="15CCC0DF" w14:textId="77777777" w:rsidR="00B94E0D" w:rsidRPr="00C34392" w:rsidRDefault="00B94E0D" w:rsidP="004551C6">
      <w:pPr>
        <w:pStyle w:val="MainText"/>
      </w:pPr>
      <w:r w:rsidRPr="00C34392">
        <w:t>In this scenario it may be possible for a student to achieve a mark higher than 40% at the resit.</w:t>
      </w:r>
      <w:r w:rsidR="003E6A5C">
        <w:t xml:space="preserve"> However, if a module is condoned, the mark is not included in the calculation of the classification or differential level of award (if it </w:t>
      </w:r>
      <w:r w:rsidR="003F0A4D">
        <w:t>had</w:t>
      </w:r>
      <w:r w:rsidR="00076870">
        <w:t xml:space="preserve"> been</w:t>
      </w:r>
      <w:r w:rsidR="003E6A5C">
        <w:t xml:space="preserve"> eligible).</w:t>
      </w:r>
    </w:p>
    <w:tbl>
      <w:tblPr>
        <w:tblStyle w:val="TableGrid1"/>
        <w:tblpPr w:leftFromText="180" w:rightFromText="180" w:vertAnchor="text" w:horzAnchor="margin" w:tblpY="190"/>
        <w:tblW w:w="8670" w:type="dxa"/>
        <w:tblLook w:val="04A0" w:firstRow="1" w:lastRow="0" w:firstColumn="1" w:lastColumn="0" w:noHBand="0" w:noVBand="1"/>
      </w:tblPr>
      <w:tblGrid>
        <w:gridCol w:w="1025"/>
        <w:gridCol w:w="895"/>
        <w:gridCol w:w="850"/>
        <w:gridCol w:w="1177"/>
        <w:gridCol w:w="2256"/>
        <w:gridCol w:w="2467"/>
      </w:tblGrid>
      <w:tr w:rsidR="00EA2403" w:rsidRPr="004551C6" w14:paraId="74B7641B" w14:textId="77777777" w:rsidTr="00EA2403">
        <w:tc>
          <w:tcPr>
            <w:tcW w:w="1025" w:type="dxa"/>
          </w:tcPr>
          <w:p w14:paraId="6B0FDBB6" w14:textId="77777777" w:rsidR="00EA2403" w:rsidRPr="004551C6" w:rsidRDefault="00EA2403" w:rsidP="00EA2403">
            <w:pPr>
              <w:pStyle w:val="MainText"/>
              <w:rPr>
                <w:b/>
              </w:rPr>
            </w:pPr>
            <w:r w:rsidRPr="004551C6">
              <w:rPr>
                <w:b/>
              </w:rPr>
              <w:t>Module mark</w:t>
            </w:r>
          </w:p>
        </w:tc>
        <w:tc>
          <w:tcPr>
            <w:tcW w:w="895" w:type="dxa"/>
          </w:tcPr>
          <w:p w14:paraId="5A6CD7DE" w14:textId="77777777" w:rsidR="00EA2403" w:rsidRPr="004551C6" w:rsidRDefault="00EA2403" w:rsidP="00EA2403">
            <w:pPr>
              <w:pStyle w:val="MainText"/>
              <w:rPr>
                <w:b/>
              </w:rPr>
            </w:pPr>
            <w:r w:rsidRPr="004551C6">
              <w:rPr>
                <w:b/>
              </w:rPr>
              <w:t xml:space="preserve">Comp A </w:t>
            </w:r>
          </w:p>
        </w:tc>
        <w:tc>
          <w:tcPr>
            <w:tcW w:w="850" w:type="dxa"/>
          </w:tcPr>
          <w:p w14:paraId="1CA23824" w14:textId="77777777" w:rsidR="00EA2403" w:rsidRPr="004551C6" w:rsidRDefault="00EA2403" w:rsidP="00EA2403">
            <w:pPr>
              <w:pStyle w:val="MainText"/>
              <w:rPr>
                <w:b/>
              </w:rPr>
            </w:pPr>
            <w:r w:rsidRPr="004551C6">
              <w:rPr>
                <w:b/>
              </w:rPr>
              <w:t>Comp B</w:t>
            </w:r>
          </w:p>
        </w:tc>
        <w:tc>
          <w:tcPr>
            <w:tcW w:w="1177" w:type="dxa"/>
          </w:tcPr>
          <w:p w14:paraId="1650846A" w14:textId="77777777" w:rsidR="00EA2403" w:rsidRPr="004551C6" w:rsidRDefault="00EA2403" w:rsidP="00EA2403">
            <w:pPr>
              <w:pStyle w:val="MainText"/>
              <w:rPr>
                <w:b/>
              </w:rPr>
            </w:pPr>
            <w:r w:rsidRPr="004551C6">
              <w:rPr>
                <w:b/>
              </w:rPr>
              <w:t>Module outcome</w:t>
            </w:r>
          </w:p>
        </w:tc>
        <w:tc>
          <w:tcPr>
            <w:tcW w:w="2256" w:type="dxa"/>
          </w:tcPr>
          <w:p w14:paraId="29F486FD" w14:textId="77777777" w:rsidR="00EA2403" w:rsidRPr="004551C6" w:rsidRDefault="00EA2403" w:rsidP="00EA2403">
            <w:pPr>
              <w:pStyle w:val="MainText"/>
              <w:rPr>
                <w:b/>
              </w:rPr>
            </w:pPr>
            <w:r w:rsidRPr="004551C6">
              <w:rPr>
                <w:b/>
              </w:rPr>
              <w:t>Outcome if student resits</w:t>
            </w:r>
          </w:p>
        </w:tc>
        <w:tc>
          <w:tcPr>
            <w:tcW w:w="2467" w:type="dxa"/>
          </w:tcPr>
          <w:p w14:paraId="24EB5F65" w14:textId="77777777" w:rsidR="00EA2403" w:rsidRPr="004551C6" w:rsidRDefault="00EA2403" w:rsidP="00EA2403">
            <w:pPr>
              <w:pStyle w:val="MainText"/>
              <w:rPr>
                <w:b/>
              </w:rPr>
            </w:pPr>
            <w:r w:rsidRPr="004551C6">
              <w:rPr>
                <w:b/>
              </w:rPr>
              <w:t>Outcome if student is condoned at the first sit</w:t>
            </w:r>
          </w:p>
        </w:tc>
      </w:tr>
      <w:tr w:rsidR="00EA2403" w:rsidRPr="00C34392" w14:paraId="48EF61B5" w14:textId="77777777" w:rsidTr="00EA2403">
        <w:tc>
          <w:tcPr>
            <w:tcW w:w="1025" w:type="dxa"/>
          </w:tcPr>
          <w:p w14:paraId="3A884569" w14:textId="77777777" w:rsidR="00EA2403" w:rsidRPr="00C34392" w:rsidRDefault="00EA2403" w:rsidP="00EA2403">
            <w:pPr>
              <w:pStyle w:val="MainText"/>
            </w:pPr>
            <w:r w:rsidRPr="00C34392">
              <w:t>42</w:t>
            </w:r>
          </w:p>
        </w:tc>
        <w:tc>
          <w:tcPr>
            <w:tcW w:w="895" w:type="dxa"/>
          </w:tcPr>
          <w:p w14:paraId="18DBB2AD" w14:textId="77777777" w:rsidR="00EA2403" w:rsidRPr="00C34392" w:rsidRDefault="00EA2403" w:rsidP="00EA2403">
            <w:pPr>
              <w:pStyle w:val="MainText"/>
            </w:pPr>
            <w:r w:rsidRPr="00C34392">
              <w:t>24</w:t>
            </w:r>
          </w:p>
        </w:tc>
        <w:tc>
          <w:tcPr>
            <w:tcW w:w="850" w:type="dxa"/>
          </w:tcPr>
          <w:p w14:paraId="3F624F0B" w14:textId="77777777" w:rsidR="00EA2403" w:rsidRPr="00C34392" w:rsidRDefault="00EA2403" w:rsidP="00EA2403">
            <w:pPr>
              <w:pStyle w:val="MainText"/>
            </w:pPr>
            <w:r w:rsidRPr="00C34392">
              <w:t>60</w:t>
            </w:r>
          </w:p>
        </w:tc>
        <w:tc>
          <w:tcPr>
            <w:tcW w:w="1177" w:type="dxa"/>
          </w:tcPr>
          <w:p w14:paraId="397F3BAD" w14:textId="77777777" w:rsidR="00EA2403" w:rsidRPr="00C34392" w:rsidRDefault="00EA2403" w:rsidP="00EA2403">
            <w:pPr>
              <w:pStyle w:val="MainText"/>
            </w:pPr>
            <w:r w:rsidRPr="00C34392">
              <w:t>1RA</w:t>
            </w:r>
          </w:p>
        </w:tc>
        <w:tc>
          <w:tcPr>
            <w:tcW w:w="2256" w:type="dxa"/>
          </w:tcPr>
          <w:p w14:paraId="61213E27" w14:textId="77777777" w:rsidR="00EA2403" w:rsidRPr="00C34392" w:rsidRDefault="00EA2403" w:rsidP="003F0A4D">
            <w:pPr>
              <w:pStyle w:val="MainText"/>
            </w:pPr>
            <w:r w:rsidRPr="00C34392">
              <w:t>Comp A will be capped at 40% but Comp B will remain as 60%.  If the student passes Comp A. The student could ob</w:t>
            </w:r>
            <w:r w:rsidR="00897A3A">
              <w:t>t</w:t>
            </w:r>
            <w:r w:rsidRPr="00C34392">
              <w:t xml:space="preserve">ain a mark of 50% for the module which </w:t>
            </w:r>
            <w:r w:rsidRPr="00C34392">
              <w:rPr>
                <w:i/>
              </w:rPr>
              <w:t>may</w:t>
            </w:r>
            <w:r w:rsidRPr="00C34392">
              <w:t xml:space="preserve"> impact upon the final degree classification</w:t>
            </w:r>
          </w:p>
        </w:tc>
        <w:tc>
          <w:tcPr>
            <w:tcW w:w="2467" w:type="dxa"/>
          </w:tcPr>
          <w:p w14:paraId="535A43FF" w14:textId="77777777" w:rsidR="00EA2403" w:rsidRPr="00C34392" w:rsidRDefault="00EA2403" w:rsidP="00EA2403">
            <w:pPr>
              <w:pStyle w:val="MainText"/>
            </w:pPr>
            <w:r w:rsidRPr="00C34392">
              <w:t>The condoned mark</w:t>
            </w:r>
            <w:r>
              <w:t xml:space="preserve"> of 42</w:t>
            </w:r>
            <w:r w:rsidRPr="00C34392">
              <w:t xml:space="preserve"> is not included in the final calculation of the degree classification, this may affect the final outcome.</w:t>
            </w:r>
          </w:p>
        </w:tc>
      </w:tr>
      <w:tr w:rsidR="00EA2403" w:rsidRPr="00C34392" w14:paraId="69CB4D55" w14:textId="77777777" w:rsidTr="00EA2403">
        <w:tc>
          <w:tcPr>
            <w:tcW w:w="1025" w:type="dxa"/>
          </w:tcPr>
          <w:p w14:paraId="22842EF4" w14:textId="77777777" w:rsidR="00EA2403" w:rsidRPr="00C34392" w:rsidRDefault="00EA2403" w:rsidP="00EA2403">
            <w:pPr>
              <w:pStyle w:val="MainText"/>
            </w:pPr>
            <w:r w:rsidRPr="00C34392">
              <w:t>38</w:t>
            </w:r>
          </w:p>
        </w:tc>
        <w:tc>
          <w:tcPr>
            <w:tcW w:w="895" w:type="dxa"/>
          </w:tcPr>
          <w:p w14:paraId="440A0415" w14:textId="77777777" w:rsidR="00EA2403" w:rsidRPr="00C34392" w:rsidRDefault="00EA2403" w:rsidP="00EA2403">
            <w:pPr>
              <w:pStyle w:val="MainText"/>
            </w:pPr>
            <w:r>
              <w:t>38</w:t>
            </w:r>
          </w:p>
        </w:tc>
        <w:tc>
          <w:tcPr>
            <w:tcW w:w="850" w:type="dxa"/>
          </w:tcPr>
          <w:p w14:paraId="4F4B715F" w14:textId="77777777" w:rsidR="00EA2403" w:rsidRPr="00C34392" w:rsidRDefault="00EA2403" w:rsidP="00EA2403">
            <w:pPr>
              <w:pStyle w:val="MainText"/>
            </w:pPr>
            <w:r>
              <w:t>38</w:t>
            </w:r>
          </w:p>
        </w:tc>
        <w:tc>
          <w:tcPr>
            <w:tcW w:w="1177" w:type="dxa"/>
          </w:tcPr>
          <w:p w14:paraId="1C4917E4" w14:textId="77777777" w:rsidR="00EA2403" w:rsidRPr="00C34392" w:rsidRDefault="00EA2403" w:rsidP="00EA2403">
            <w:pPr>
              <w:pStyle w:val="MainText"/>
            </w:pPr>
            <w:r w:rsidRPr="00C34392">
              <w:t>1RALL</w:t>
            </w:r>
          </w:p>
        </w:tc>
        <w:tc>
          <w:tcPr>
            <w:tcW w:w="2256" w:type="dxa"/>
          </w:tcPr>
          <w:p w14:paraId="3B263928" w14:textId="77777777" w:rsidR="00EA2403" w:rsidRPr="00C34392" w:rsidRDefault="00EA2403" w:rsidP="00EA2403">
            <w:pPr>
              <w:pStyle w:val="MainText"/>
            </w:pPr>
            <w:r w:rsidRPr="00C34392">
              <w:t>Student needs to resit both components and will be capped at 40% for the whole module.</w:t>
            </w:r>
            <w:r>
              <w:t xml:space="preserve"> The mark may be included in the final degree classification.</w:t>
            </w:r>
          </w:p>
        </w:tc>
        <w:tc>
          <w:tcPr>
            <w:tcW w:w="2467" w:type="dxa"/>
          </w:tcPr>
          <w:p w14:paraId="446B7744" w14:textId="77777777" w:rsidR="00EA2403" w:rsidRPr="00C34392" w:rsidRDefault="00EA2403" w:rsidP="00EA2403">
            <w:pPr>
              <w:pStyle w:val="MainText"/>
            </w:pPr>
            <w:r w:rsidRPr="00C34392">
              <w:t>The condoned mark</w:t>
            </w:r>
            <w:r>
              <w:t xml:space="preserve"> of 38</w:t>
            </w:r>
            <w:r w:rsidRPr="00C34392">
              <w:t xml:space="preserve"> is not included in the final calculation of the degree classification.</w:t>
            </w:r>
          </w:p>
        </w:tc>
      </w:tr>
    </w:tbl>
    <w:p w14:paraId="3762A9B8" w14:textId="77777777" w:rsidR="00B94E0D" w:rsidRPr="00E71E9D" w:rsidRDefault="00B94E0D" w:rsidP="00B94E0D">
      <w:pPr>
        <w:pStyle w:val="ListParagraph"/>
        <w:rPr>
          <w:sz w:val="20"/>
          <w:szCs w:val="20"/>
        </w:rPr>
      </w:pPr>
      <w:bookmarkStart w:id="18" w:name="_Toc396115568"/>
      <w:bookmarkStart w:id="19" w:name="_Toc420923462"/>
    </w:p>
    <w:p w14:paraId="5F15CAA3" w14:textId="77777777" w:rsidR="00B94E0D" w:rsidRPr="00212FF6" w:rsidRDefault="00B94E0D" w:rsidP="00B94E0D">
      <w:pPr>
        <w:keepNext/>
        <w:keepLines/>
        <w:spacing w:before="480"/>
        <w:outlineLvl w:val="0"/>
        <w:rPr>
          <w:rFonts w:eastAsiaTheme="majorEastAsia"/>
          <w:b/>
          <w:bCs/>
          <w:color w:val="FFFFFF" w:themeColor="background1"/>
          <w:sz w:val="2"/>
        </w:rPr>
      </w:pPr>
      <w:r>
        <w:rPr>
          <w:sz w:val="20"/>
        </w:rPr>
        <w:br w:type="page"/>
      </w:r>
      <w:r w:rsidR="0048251E" w:rsidRPr="00212FF6">
        <w:rPr>
          <w:rFonts w:eastAsiaTheme="majorEastAsia"/>
          <w:b/>
          <w:bCs/>
          <w:color w:val="FFFFFF" w:themeColor="background1"/>
          <w:sz w:val="2"/>
        </w:rPr>
        <w:lastRenderedPageBreak/>
        <w:t xml:space="preserve"> </w:t>
      </w:r>
    </w:p>
    <w:tbl>
      <w:tblPr>
        <w:tblStyle w:val="TableGrid"/>
        <w:tblW w:w="8500" w:type="dxa"/>
        <w:tblLook w:val="04A0" w:firstRow="1" w:lastRow="0" w:firstColumn="1" w:lastColumn="0" w:noHBand="0" w:noVBand="1"/>
      </w:tblPr>
      <w:tblGrid>
        <w:gridCol w:w="2802"/>
        <w:gridCol w:w="3969"/>
        <w:gridCol w:w="1729"/>
      </w:tblGrid>
      <w:tr w:rsidR="00B94E0D" w:rsidRPr="00AF7230" w14:paraId="0ED2D309" w14:textId="77777777" w:rsidTr="00220097">
        <w:trPr>
          <w:trHeight w:val="366"/>
        </w:trPr>
        <w:tc>
          <w:tcPr>
            <w:tcW w:w="2802" w:type="dxa"/>
            <w:shd w:val="clear" w:color="auto" w:fill="BF8F00" w:themeFill="accent4" w:themeFillShade="BF"/>
          </w:tcPr>
          <w:p w14:paraId="620BC467" w14:textId="77777777" w:rsidR="00B94E0D" w:rsidRPr="00AF7230" w:rsidRDefault="00B94E0D" w:rsidP="004551C6">
            <w:pPr>
              <w:pStyle w:val="MainText"/>
              <w:rPr>
                <w:b/>
              </w:rPr>
            </w:pPr>
            <w:r w:rsidRPr="00AF7230">
              <w:rPr>
                <w:b/>
              </w:rPr>
              <w:t>FAQ</w:t>
            </w:r>
          </w:p>
        </w:tc>
        <w:tc>
          <w:tcPr>
            <w:tcW w:w="3969" w:type="dxa"/>
            <w:shd w:val="clear" w:color="auto" w:fill="BF8F00" w:themeFill="accent4" w:themeFillShade="BF"/>
          </w:tcPr>
          <w:p w14:paraId="787A808D" w14:textId="77777777" w:rsidR="00B94E0D" w:rsidRPr="00AF7230" w:rsidRDefault="00B94E0D" w:rsidP="004551C6">
            <w:pPr>
              <w:pStyle w:val="MainText"/>
              <w:rPr>
                <w:b/>
              </w:rPr>
            </w:pPr>
            <w:r w:rsidRPr="00AF7230">
              <w:rPr>
                <w:b/>
              </w:rPr>
              <w:t>Condoned credit</w:t>
            </w:r>
          </w:p>
        </w:tc>
        <w:tc>
          <w:tcPr>
            <w:tcW w:w="1729" w:type="dxa"/>
            <w:shd w:val="clear" w:color="auto" w:fill="BF8F00" w:themeFill="accent4" w:themeFillShade="BF"/>
          </w:tcPr>
          <w:p w14:paraId="0EA298F6" w14:textId="77777777" w:rsidR="00B94E0D" w:rsidRPr="00AF7230" w:rsidRDefault="00B94E0D" w:rsidP="004551C6">
            <w:pPr>
              <w:pStyle w:val="MainText"/>
              <w:rPr>
                <w:b/>
              </w:rPr>
            </w:pPr>
            <w:r w:rsidRPr="00AF7230">
              <w:rPr>
                <w:b/>
              </w:rPr>
              <w:t>80% rule</w:t>
            </w:r>
          </w:p>
        </w:tc>
      </w:tr>
      <w:tr w:rsidR="00B94E0D" w14:paraId="55AB9939" w14:textId="77777777" w:rsidTr="00220097">
        <w:trPr>
          <w:trHeight w:val="1025"/>
        </w:trPr>
        <w:tc>
          <w:tcPr>
            <w:tcW w:w="2802" w:type="dxa"/>
          </w:tcPr>
          <w:p w14:paraId="48F6C68D" w14:textId="77777777" w:rsidR="00B94E0D" w:rsidRDefault="00B94E0D" w:rsidP="00B21332">
            <w:pPr>
              <w:pStyle w:val="MainText"/>
            </w:pPr>
            <w:r>
              <w:t xml:space="preserve">Does the student need to have </w:t>
            </w:r>
            <w:r w:rsidR="00C30BBA">
              <w:t>personal circumstances</w:t>
            </w:r>
            <w:r>
              <w:t xml:space="preserve"> accepted</w:t>
            </w:r>
            <w:r w:rsidR="00B21332">
              <w:t>?</w:t>
            </w:r>
          </w:p>
        </w:tc>
        <w:tc>
          <w:tcPr>
            <w:tcW w:w="3969" w:type="dxa"/>
          </w:tcPr>
          <w:p w14:paraId="3E2BF799" w14:textId="77777777" w:rsidR="00B94E0D" w:rsidRPr="00254498" w:rsidRDefault="00B94E0D" w:rsidP="004551C6">
            <w:pPr>
              <w:pStyle w:val="MainText"/>
            </w:pPr>
            <w:r w:rsidRPr="00254498">
              <w:t>No</w:t>
            </w:r>
          </w:p>
        </w:tc>
        <w:tc>
          <w:tcPr>
            <w:tcW w:w="1729" w:type="dxa"/>
          </w:tcPr>
          <w:p w14:paraId="37C68365" w14:textId="77777777" w:rsidR="00B94E0D" w:rsidRPr="00254498" w:rsidRDefault="00B94E0D" w:rsidP="004551C6">
            <w:pPr>
              <w:pStyle w:val="MainText"/>
            </w:pPr>
            <w:r w:rsidRPr="00254498">
              <w:t>Yes</w:t>
            </w:r>
          </w:p>
        </w:tc>
      </w:tr>
      <w:tr w:rsidR="00B94E0D" w14:paraId="014407C4" w14:textId="77777777" w:rsidTr="00220097">
        <w:tc>
          <w:tcPr>
            <w:tcW w:w="2802" w:type="dxa"/>
          </w:tcPr>
          <w:p w14:paraId="33221040" w14:textId="77777777" w:rsidR="00B94E0D" w:rsidRDefault="00B94E0D" w:rsidP="00B21332">
            <w:pPr>
              <w:pStyle w:val="MainText"/>
            </w:pPr>
            <w:r>
              <w:t>D</w:t>
            </w:r>
            <w:r w:rsidR="009F6FAA">
              <w:t>oes the student have to achieve</w:t>
            </w:r>
            <w:r>
              <w:t xml:space="preserve"> a minimum </w:t>
            </w:r>
            <w:r w:rsidRPr="00BE305E">
              <w:rPr>
                <w:u w:val="single"/>
              </w:rPr>
              <w:t>module</w:t>
            </w:r>
            <w:r w:rsidR="00B21332">
              <w:t xml:space="preserve"> mark?</w:t>
            </w:r>
          </w:p>
        </w:tc>
        <w:tc>
          <w:tcPr>
            <w:tcW w:w="3969" w:type="dxa"/>
          </w:tcPr>
          <w:p w14:paraId="3CD63A59" w14:textId="77777777" w:rsidR="00B94E0D" w:rsidRPr="00254498" w:rsidRDefault="00B94E0D" w:rsidP="004551C6">
            <w:pPr>
              <w:pStyle w:val="MainText"/>
            </w:pPr>
            <w:r w:rsidRPr="00254498">
              <w:t xml:space="preserve">Yes </w:t>
            </w:r>
          </w:p>
          <w:p w14:paraId="01892CAC" w14:textId="77777777" w:rsidR="00B94E0D" w:rsidRPr="00254498" w:rsidRDefault="00B94E0D" w:rsidP="004551C6">
            <w:pPr>
              <w:pStyle w:val="MainText"/>
            </w:pPr>
            <w:r w:rsidRPr="00254498">
              <w:t>37% at levels 0-3</w:t>
            </w:r>
          </w:p>
          <w:p w14:paraId="068368C7" w14:textId="77777777" w:rsidR="00B94E0D" w:rsidRPr="00254498" w:rsidRDefault="00B94E0D" w:rsidP="004551C6">
            <w:pPr>
              <w:pStyle w:val="MainText"/>
            </w:pPr>
            <w:r w:rsidRPr="00254498">
              <w:t>47% at level M</w:t>
            </w:r>
          </w:p>
        </w:tc>
        <w:tc>
          <w:tcPr>
            <w:tcW w:w="1729" w:type="dxa"/>
          </w:tcPr>
          <w:p w14:paraId="7A5746CC" w14:textId="77777777" w:rsidR="00B94E0D" w:rsidRPr="00254498" w:rsidRDefault="00B94E0D" w:rsidP="004551C6">
            <w:pPr>
              <w:pStyle w:val="MainText"/>
            </w:pPr>
            <w:r w:rsidRPr="00254498">
              <w:t>No</w:t>
            </w:r>
          </w:p>
        </w:tc>
      </w:tr>
      <w:tr w:rsidR="00B94E0D" w14:paraId="281FCD2E" w14:textId="77777777" w:rsidTr="00220097">
        <w:tc>
          <w:tcPr>
            <w:tcW w:w="2802" w:type="dxa"/>
          </w:tcPr>
          <w:p w14:paraId="29EAA3F9" w14:textId="77777777" w:rsidR="00B94E0D" w:rsidRDefault="00B94E0D" w:rsidP="00B21332">
            <w:pPr>
              <w:pStyle w:val="MainText"/>
            </w:pPr>
            <w:r>
              <w:t>D</w:t>
            </w:r>
            <w:r w:rsidR="00103BE1">
              <w:t>oes the student have to achieve</w:t>
            </w:r>
            <w:r>
              <w:t xml:space="preserve"> a minimum </w:t>
            </w:r>
            <w:r w:rsidRPr="00BE305E">
              <w:rPr>
                <w:u w:val="single"/>
              </w:rPr>
              <w:t>component</w:t>
            </w:r>
            <w:r w:rsidR="00B21332">
              <w:t xml:space="preserve"> mark?</w:t>
            </w:r>
          </w:p>
        </w:tc>
        <w:tc>
          <w:tcPr>
            <w:tcW w:w="3969" w:type="dxa"/>
          </w:tcPr>
          <w:p w14:paraId="29A16306" w14:textId="77777777" w:rsidR="00B94E0D" w:rsidRPr="00254498" w:rsidRDefault="00B94E0D" w:rsidP="004551C6">
            <w:pPr>
              <w:pStyle w:val="MainText"/>
            </w:pPr>
            <w:r w:rsidRPr="00254498">
              <w:t>No</w:t>
            </w:r>
          </w:p>
        </w:tc>
        <w:tc>
          <w:tcPr>
            <w:tcW w:w="1729" w:type="dxa"/>
          </w:tcPr>
          <w:p w14:paraId="2F609ACF" w14:textId="77777777" w:rsidR="00B94E0D" w:rsidRPr="00254498" w:rsidRDefault="00B94E0D" w:rsidP="004551C6">
            <w:pPr>
              <w:pStyle w:val="MainText"/>
            </w:pPr>
            <w:r w:rsidRPr="00254498">
              <w:t>No</w:t>
            </w:r>
          </w:p>
        </w:tc>
      </w:tr>
      <w:tr w:rsidR="00B94E0D" w14:paraId="704C3A6C" w14:textId="77777777" w:rsidTr="00E40D85">
        <w:trPr>
          <w:trHeight w:val="1287"/>
        </w:trPr>
        <w:tc>
          <w:tcPr>
            <w:tcW w:w="2802" w:type="dxa"/>
          </w:tcPr>
          <w:p w14:paraId="670F34F6" w14:textId="77777777" w:rsidR="00B94E0D" w:rsidRDefault="00B94E0D" w:rsidP="00B21332">
            <w:pPr>
              <w:pStyle w:val="MainText"/>
            </w:pPr>
            <w:r>
              <w:t>Does the student need to have passed a minimum number of credits elsewhere</w:t>
            </w:r>
            <w:r w:rsidR="00B21332">
              <w:t>?</w:t>
            </w:r>
          </w:p>
        </w:tc>
        <w:tc>
          <w:tcPr>
            <w:tcW w:w="3969" w:type="dxa"/>
          </w:tcPr>
          <w:p w14:paraId="4D6FC25B" w14:textId="77777777" w:rsidR="00B94E0D" w:rsidRPr="00254498" w:rsidRDefault="00B94E0D" w:rsidP="00AA2FDC">
            <w:pPr>
              <w:pStyle w:val="MainText"/>
            </w:pPr>
            <w:r>
              <w:t xml:space="preserve">Yes. </w:t>
            </w:r>
            <w:r w:rsidRPr="00254498">
              <w:t>At least 90 credits at that level or above</w:t>
            </w:r>
            <w:r w:rsidR="00AA2FDC">
              <w:t xml:space="preserve"> </w:t>
            </w:r>
            <w:r w:rsidRPr="007341DD">
              <w:t xml:space="preserve">even if </w:t>
            </w:r>
            <w:r w:rsidR="00AA2FDC">
              <w:t>it</w:t>
            </w:r>
            <w:r w:rsidRPr="007341DD">
              <w:t xml:space="preserve"> has been accumulated o</w:t>
            </w:r>
            <w:r w:rsidR="00AA2FDC">
              <w:t>ver more than one academic year.</w:t>
            </w:r>
          </w:p>
        </w:tc>
        <w:tc>
          <w:tcPr>
            <w:tcW w:w="1729" w:type="dxa"/>
          </w:tcPr>
          <w:p w14:paraId="537FFE51" w14:textId="77777777" w:rsidR="00B94E0D" w:rsidRPr="00254498" w:rsidRDefault="00B94E0D" w:rsidP="00E40D85">
            <w:pPr>
              <w:pStyle w:val="MainText"/>
            </w:pPr>
            <w:r>
              <w:t xml:space="preserve">Yes. </w:t>
            </w:r>
            <w:r w:rsidRPr="00254498">
              <w:t>80% of the total credit requirements</w:t>
            </w:r>
            <w:r w:rsidR="00AA2FDC">
              <w:t>.</w:t>
            </w:r>
          </w:p>
        </w:tc>
      </w:tr>
      <w:tr w:rsidR="00B94E0D" w14:paraId="5A044FD2" w14:textId="77777777" w:rsidTr="00220097">
        <w:tc>
          <w:tcPr>
            <w:tcW w:w="2802" w:type="dxa"/>
          </w:tcPr>
          <w:p w14:paraId="376A28A3" w14:textId="77777777" w:rsidR="00B94E0D" w:rsidRPr="005E553F" w:rsidRDefault="00B94E0D" w:rsidP="004551C6">
            <w:pPr>
              <w:pStyle w:val="MainText"/>
            </w:pPr>
            <w:r w:rsidRPr="005E553F">
              <w:t>Is there a maximum amount of credit which can be considered?</w:t>
            </w:r>
          </w:p>
        </w:tc>
        <w:tc>
          <w:tcPr>
            <w:tcW w:w="3969" w:type="dxa"/>
          </w:tcPr>
          <w:p w14:paraId="7EA5C22A" w14:textId="4C8534B5" w:rsidR="00B94E0D" w:rsidRPr="005E553F" w:rsidRDefault="00B94E0D" w:rsidP="004551C6">
            <w:pPr>
              <w:pStyle w:val="MainText"/>
            </w:pPr>
            <w:r w:rsidRPr="005E553F">
              <w:t>Yes (see p.</w:t>
            </w:r>
            <w:r w:rsidR="005E553F" w:rsidRPr="005E553F">
              <w:t>17</w:t>
            </w:r>
            <w:r w:rsidRPr="005E553F">
              <w:t>)</w:t>
            </w:r>
          </w:p>
        </w:tc>
        <w:tc>
          <w:tcPr>
            <w:tcW w:w="1729" w:type="dxa"/>
          </w:tcPr>
          <w:p w14:paraId="3816B401" w14:textId="77777777" w:rsidR="00B94E0D" w:rsidRPr="00254498" w:rsidRDefault="00B94E0D" w:rsidP="004551C6">
            <w:pPr>
              <w:pStyle w:val="MainText"/>
            </w:pPr>
            <w:r w:rsidRPr="00254498">
              <w:t>20% of the total credit requirements for the award</w:t>
            </w:r>
            <w:r w:rsidR="00AA2FDC">
              <w:t>.</w:t>
            </w:r>
          </w:p>
        </w:tc>
      </w:tr>
      <w:tr w:rsidR="00B94E0D" w14:paraId="57D914A7" w14:textId="77777777" w:rsidTr="00220097">
        <w:tc>
          <w:tcPr>
            <w:tcW w:w="2802" w:type="dxa"/>
          </w:tcPr>
          <w:p w14:paraId="727713BD" w14:textId="77777777" w:rsidR="00B94E0D" w:rsidRDefault="00B94E0D" w:rsidP="004551C6">
            <w:pPr>
              <w:pStyle w:val="MainText"/>
            </w:pPr>
            <w:r>
              <w:t>Is the mark included in the calculation of the degree classification?</w:t>
            </w:r>
          </w:p>
        </w:tc>
        <w:tc>
          <w:tcPr>
            <w:tcW w:w="3969" w:type="dxa"/>
          </w:tcPr>
          <w:p w14:paraId="5D3D1B71" w14:textId="77777777" w:rsidR="00B94E0D" w:rsidRPr="00B7156B" w:rsidRDefault="00B94E0D" w:rsidP="004551C6">
            <w:pPr>
              <w:pStyle w:val="MainText"/>
            </w:pPr>
            <w:r w:rsidRPr="00B7156B">
              <w:t>No</w:t>
            </w:r>
          </w:p>
        </w:tc>
        <w:tc>
          <w:tcPr>
            <w:tcW w:w="1729" w:type="dxa"/>
          </w:tcPr>
          <w:p w14:paraId="0C52998B" w14:textId="77777777" w:rsidR="00B94E0D" w:rsidRPr="00254498" w:rsidRDefault="00B94E0D" w:rsidP="004551C6">
            <w:pPr>
              <w:pStyle w:val="MainText"/>
            </w:pPr>
            <w:r w:rsidRPr="00254498">
              <w:t>No</w:t>
            </w:r>
          </w:p>
        </w:tc>
      </w:tr>
      <w:tr w:rsidR="00B94E0D" w14:paraId="471FC306" w14:textId="77777777" w:rsidTr="00220097">
        <w:tc>
          <w:tcPr>
            <w:tcW w:w="2802" w:type="dxa"/>
          </w:tcPr>
          <w:p w14:paraId="3DFA3C7C" w14:textId="77777777" w:rsidR="00B94E0D" w:rsidRDefault="00B94E0D" w:rsidP="00AA2FDC">
            <w:pPr>
              <w:pStyle w:val="MainText"/>
            </w:pPr>
            <w:r>
              <w:t xml:space="preserve">Is the credit included in the </w:t>
            </w:r>
            <w:r w:rsidR="00AA2FDC">
              <w:t xml:space="preserve">award </w:t>
            </w:r>
            <w:r>
              <w:t>credit total?</w:t>
            </w:r>
          </w:p>
        </w:tc>
        <w:tc>
          <w:tcPr>
            <w:tcW w:w="3969" w:type="dxa"/>
          </w:tcPr>
          <w:p w14:paraId="43EF3784" w14:textId="77777777" w:rsidR="00B94E0D" w:rsidRPr="00235744" w:rsidRDefault="00B94E0D" w:rsidP="004551C6">
            <w:pPr>
              <w:pStyle w:val="MainText"/>
            </w:pPr>
            <w:r w:rsidRPr="00235744">
              <w:t>Yes</w:t>
            </w:r>
          </w:p>
        </w:tc>
        <w:tc>
          <w:tcPr>
            <w:tcW w:w="1729" w:type="dxa"/>
          </w:tcPr>
          <w:p w14:paraId="4B318DF5" w14:textId="77777777" w:rsidR="00B94E0D" w:rsidRPr="00254498" w:rsidRDefault="00B94E0D" w:rsidP="004551C6">
            <w:pPr>
              <w:pStyle w:val="MainText"/>
            </w:pPr>
            <w:r w:rsidRPr="00254498">
              <w:t>No</w:t>
            </w:r>
          </w:p>
        </w:tc>
      </w:tr>
    </w:tbl>
    <w:p w14:paraId="2889A0E9" w14:textId="77777777" w:rsidR="00AA2FDC" w:rsidRDefault="00AA2FDC"/>
    <w:p w14:paraId="42EEDB6B" w14:textId="77777777" w:rsidR="00AA2FDC" w:rsidRDefault="0048251E" w:rsidP="00AA2FDC">
      <w:pPr>
        <w:pStyle w:val="Subtitle"/>
      </w:pPr>
      <w:r>
        <w:t>Illustrative examples</w:t>
      </w:r>
    </w:p>
    <w:p w14:paraId="60646A5E" w14:textId="77777777" w:rsidR="00AA2FDC" w:rsidRDefault="00AA2FDC"/>
    <w:p w14:paraId="07517177" w14:textId="77777777" w:rsidR="00AA2FDC" w:rsidRDefault="00AA2FDC" w:rsidP="00792A60">
      <w:pPr>
        <w:pStyle w:val="Bulletpointstyle"/>
      </w:pPr>
      <w:r>
        <w:t>A UG FT student who achieved 90 credits at level 1 in the previous year, retakes a level 1 module in the current year and obtains a mark of 39%.  The student could be condoned.</w:t>
      </w:r>
    </w:p>
    <w:p w14:paraId="5A7AA97C" w14:textId="77777777" w:rsidR="00AA2FDC" w:rsidRDefault="00AA2FDC" w:rsidP="00792A60">
      <w:pPr>
        <w:pStyle w:val="Bulletpointstyle"/>
        <w:numPr>
          <w:ilvl w:val="0"/>
          <w:numId w:val="0"/>
        </w:numPr>
        <w:ind w:left="227"/>
      </w:pPr>
    </w:p>
    <w:p w14:paraId="2EC4F049" w14:textId="77777777" w:rsidR="00AA2FDC" w:rsidRDefault="00AA2FDC" w:rsidP="00792A60">
      <w:pPr>
        <w:pStyle w:val="Bulletpointstyle"/>
      </w:pPr>
      <w:r>
        <w:t>A UG PT student passes 60 credits at stage 2.1, takes 60 credits at stage 2.2, but only passes 30, achieving a mark of 37% in the second module.  They could be condoned for the remaining 30 credits.</w:t>
      </w:r>
    </w:p>
    <w:p w14:paraId="5442EC1F" w14:textId="77777777" w:rsidR="00AA2FDC" w:rsidRDefault="00AA2FDC" w:rsidP="00792A60">
      <w:pPr>
        <w:pStyle w:val="Bulletpointstyle"/>
        <w:numPr>
          <w:ilvl w:val="0"/>
          <w:numId w:val="0"/>
        </w:numPr>
        <w:ind w:left="227"/>
      </w:pPr>
    </w:p>
    <w:p w14:paraId="266945AB" w14:textId="77777777" w:rsidR="00220097" w:rsidRDefault="00285A0C" w:rsidP="00792A60">
      <w:pPr>
        <w:pStyle w:val="Bulletpointstyle"/>
      </w:pPr>
      <w:r>
        <w:t xml:space="preserve">A student has personal circumstances </w:t>
      </w:r>
      <w:r w:rsidR="00AA2FDC">
        <w:t>accepted against a passed component but none were approved on the other component, the presence of personal circumstances is still enough to confer eligibility for consideration under the 80% rule.</w:t>
      </w:r>
      <w:r w:rsidR="00220097">
        <w:br w:type="page"/>
      </w:r>
    </w:p>
    <w:p w14:paraId="2FA273E2" w14:textId="77777777" w:rsidR="00B94E0D" w:rsidRPr="0038229F" w:rsidRDefault="00B94E0D" w:rsidP="00B94E0D">
      <w:pPr>
        <w:shd w:val="clear" w:color="auto" w:fill="538135" w:themeFill="accent6" w:themeFillShade="BF"/>
        <w:rPr>
          <w:b/>
          <w:color w:val="FFFFFF" w:themeColor="background1"/>
          <w:sz w:val="28"/>
          <w:szCs w:val="28"/>
        </w:rPr>
      </w:pPr>
      <w:bookmarkStart w:id="20" w:name="_Toc420923464"/>
      <w:bookmarkEnd w:id="18"/>
      <w:bookmarkEnd w:id="19"/>
      <w:r>
        <w:rPr>
          <w:b/>
          <w:color w:val="FFFFFF" w:themeColor="background1"/>
          <w:sz w:val="28"/>
          <w:szCs w:val="28"/>
        </w:rPr>
        <w:lastRenderedPageBreak/>
        <w:t xml:space="preserve">AWARD BOARD - </w:t>
      </w:r>
      <w:r w:rsidR="00C30BBA">
        <w:rPr>
          <w:b/>
          <w:color w:val="FFFFFF" w:themeColor="background1"/>
          <w:sz w:val="28"/>
          <w:szCs w:val="28"/>
        </w:rPr>
        <w:t>PERSONAL CIRCUMSTANCES</w:t>
      </w:r>
    </w:p>
    <w:p w14:paraId="064478E0" w14:textId="77777777" w:rsidR="00B94E0D" w:rsidRPr="00504DEE" w:rsidRDefault="00B94E0D" w:rsidP="00B94E0D"/>
    <w:p w14:paraId="0BDDDFB4" w14:textId="77777777" w:rsidR="00B94E0D" w:rsidRDefault="00832643" w:rsidP="0023289C">
      <w:pPr>
        <w:pStyle w:val="MainText"/>
      </w:pPr>
      <w:r>
        <w:t>Students may</w:t>
      </w:r>
      <w:r w:rsidR="00B94E0D" w:rsidRPr="00F31466">
        <w:t xml:space="preserve"> only su</w:t>
      </w:r>
      <w:r>
        <w:t>bmit a</w:t>
      </w:r>
      <w:r w:rsidR="00B94E0D" w:rsidRPr="00F31466">
        <w:t xml:space="preserve"> </w:t>
      </w:r>
      <w:r w:rsidR="00C30BBA">
        <w:t>personal circumstances</w:t>
      </w:r>
      <w:r w:rsidR="00B94E0D" w:rsidRPr="00F31466">
        <w:t xml:space="preserve"> application if:</w:t>
      </w:r>
    </w:p>
    <w:p w14:paraId="59DBA3F4" w14:textId="77777777" w:rsidR="00B21332" w:rsidRPr="00F31466" w:rsidRDefault="00B21332" w:rsidP="0023289C">
      <w:pPr>
        <w:pStyle w:val="MainText"/>
      </w:pPr>
    </w:p>
    <w:p w14:paraId="5A2D9DE2" w14:textId="77777777" w:rsidR="00B94E0D" w:rsidRPr="00F31466" w:rsidRDefault="00B94E0D" w:rsidP="00792A60">
      <w:pPr>
        <w:pStyle w:val="Bulletpointstyle"/>
      </w:pPr>
      <w:r w:rsidRPr="00F31466">
        <w:t>they missed an assessment;</w:t>
      </w:r>
    </w:p>
    <w:p w14:paraId="230EC391" w14:textId="77777777" w:rsidR="00B94E0D" w:rsidRPr="00F31466" w:rsidRDefault="00B94E0D" w:rsidP="00792A60">
      <w:pPr>
        <w:pStyle w:val="Bulletpointstyle"/>
      </w:pPr>
      <w:r>
        <w:t xml:space="preserve">they </w:t>
      </w:r>
      <w:r w:rsidRPr="00F31466">
        <w:t>fell ill during an exam / controlled conditions assessment;</w:t>
      </w:r>
    </w:p>
    <w:p w14:paraId="08714AB3" w14:textId="77777777" w:rsidR="00832643" w:rsidRPr="00CA2AF5" w:rsidRDefault="00B94E0D" w:rsidP="00792A60">
      <w:pPr>
        <w:pStyle w:val="Bulletpointstyle"/>
      </w:pPr>
      <w:r w:rsidRPr="00CA2AF5">
        <w:t xml:space="preserve">they did the assessment </w:t>
      </w:r>
      <w:r w:rsidR="00832643" w:rsidRPr="00CA2AF5">
        <w:t>but their circums</w:t>
      </w:r>
      <w:r w:rsidR="00CA2AF5" w:rsidRPr="00CA2AF5">
        <w:t>tances affected their judgement.</w:t>
      </w:r>
    </w:p>
    <w:p w14:paraId="7D4B7144" w14:textId="77777777" w:rsidR="00CA2AF5" w:rsidRDefault="00CA2AF5" w:rsidP="0023289C">
      <w:pPr>
        <w:pStyle w:val="MainText"/>
      </w:pPr>
    </w:p>
    <w:p w14:paraId="52453F67" w14:textId="77777777" w:rsidR="0023289C" w:rsidRDefault="00B94E0D" w:rsidP="0023289C">
      <w:pPr>
        <w:pStyle w:val="MainText"/>
      </w:pPr>
      <w:r w:rsidRPr="008D2B30">
        <w:t xml:space="preserve">In the </w:t>
      </w:r>
      <w:r w:rsidR="00832643">
        <w:t>last</w:t>
      </w:r>
      <w:r w:rsidRPr="008D2B30">
        <w:t xml:space="preserve"> two scenarios the mark for the affected assessment will have been removed.</w:t>
      </w:r>
      <w:r>
        <w:t xml:space="preserve"> </w:t>
      </w:r>
    </w:p>
    <w:p w14:paraId="459E3C71" w14:textId="77777777" w:rsidR="00285A0C" w:rsidRDefault="00285A0C" w:rsidP="0023289C">
      <w:pPr>
        <w:pStyle w:val="MainText"/>
      </w:pPr>
    </w:p>
    <w:p w14:paraId="628195B6" w14:textId="77777777" w:rsidR="00B94E0D" w:rsidRDefault="00CA2AF5" w:rsidP="0023289C">
      <w:pPr>
        <w:pStyle w:val="MainText"/>
      </w:pPr>
      <w:r>
        <w:t>I</w:t>
      </w:r>
      <w:r w:rsidR="00B94E0D" w:rsidRPr="000B3362">
        <w:t xml:space="preserve">t </w:t>
      </w:r>
      <w:r w:rsidR="00B94E0D">
        <w:t>is possible</w:t>
      </w:r>
      <w:r w:rsidR="00B94E0D" w:rsidRPr="000B3362">
        <w:t xml:space="preserve"> that some student profiles will show a mark at component or module level </w:t>
      </w:r>
      <w:r w:rsidR="00B94E0D" w:rsidRPr="000B3362">
        <w:rPr>
          <w:b/>
        </w:rPr>
        <w:t>and</w:t>
      </w:r>
      <w:r w:rsidR="00B94E0D" w:rsidRPr="000B3362">
        <w:t xml:space="preserve"> have </w:t>
      </w:r>
      <w:r w:rsidR="00C30BBA">
        <w:t>personal circumstances</w:t>
      </w:r>
      <w:r w:rsidR="00B94E0D" w:rsidRPr="000B3362">
        <w:t xml:space="preserve"> accepted.  One reason may be where a compon</w:t>
      </w:r>
      <w:r>
        <w:t xml:space="preserve">ent has more than one element. </w:t>
      </w:r>
      <w:r w:rsidR="00B94E0D" w:rsidRPr="000B3362">
        <w:t xml:space="preserve">One of the elements may have been submitted and was unaffected by </w:t>
      </w:r>
      <w:r w:rsidR="00C30BBA">
        <w:t>personal circumstances</w:t>
      </w:r>
      <w:r w:rsidR="00B94E0D" w:rsidRPr="000B3362">
        <w:t xml:space="preserve"> but another was not submitted and the student applied </w:t>
      </w:r>
      <w:r>
        <w:t>under the missed assessments process</w:t>
      </w:r>
      <w:r w:rsidR="00B94E0D" w:rsidRPr="000B3362">
        <w:t>.</w:t>
      </w:r>
    </w:p>
    <w:p w14:paraId="20595F14" w14:textId="77777777" w:rsidR="00680107" w:rsidRPr="00BB2A75" w:rsidRDefault="00680107" w:rsidP="00680107">
      <w:pPr>
        <w:pStyle w:val="Subtitle"/>
      </w:pPr>
      <w:r>
        <w:t xml:space="preserve">Award Board actions for accepted </w:t>
      </w:r>
      <w:r w:rsidR="00C30BBA">
        <w:t>personal circumstances</w:t>
      </w:r>
    </w:p>
    <w:bookmarkEnd w:id="20"/>
    <w:p w14:paraId="4702D263" w14:textId="77777777" w:rsidR="00D63FC6" w:rsidRDefault="00D63FC6" w:rsidP="00D63FC6">
      <w:pPr>
        <w:pStyle w:val="Subtitle"/>
      </w:pPr>
      <w:r>
        <w:t>Uncapping</w:t>
      </w:r>
    </w:p>
    <w:p w14:paraId="524DEE6A" w14:textId="77777777" w:rsidR="00D63FC6" w:rsidRDefault="00D63FC6" w:rsidP="00792A60">
      <w:pPr>
        <w:pStyle w:val="Bulletpointstyle"/>
      </w:pPr>
      <w:r w:rsidRPr="00BE0E1B">
        <w:t xml:space="preserve">If a student fails </w:t>
      </w:r>
      <w:r w:rsidRPr="00A9237C">
        <w:rPr>
          <w:b/>
        </w:rPr>
        <w:t>both</w:t>
      </w:r>
      <w:r w:rsidRPr="00BE0E1B">
        <w:t xml:space="preserve"> components at a sit, but only has accepted </w:t>
      </w:r>
      <w:r>
        <w:t>Personal circumstances for one and an</w:t>
      </w:r>
      <w:r w:rsidRPr="00BE0E1B">
        <w:t xml:space="preserve"> Award Board decides to ‘uncap’ a mark</w:t>
      </w:r>
      <w:r>
        <w:t>,</w:t>
      </w:r>
      <w:r w:rsidRPr="00BE0E1B">
        <w:t xml:space="preserve"> the uncapping </w:t>
      </w:r>
      <w:r>
        <w:t>must apply</w:t>
      </w:r>
      <w:r w:rsidRPr="00BE0E1B">
        <w:t xml:space="preserve"> to the whole module. </w:t>
      </w:r>
      <w:r>
        <w:t>If one component was capped</w:t>
      </w:r>
      <w:r w:rsidRPr="00A9237C">
        <w:t xml:space="preserve"> in this scenario, there </w:t>
      </w:r>
      <w:r>
        <w:t>would be</w:t>
      </w:r>
      <w:r w:rsidRPr="00A9237C">
        <w:t xml:space="preserve"> a risk of generating a mark lower than 40% (or 50% for M level modules).</w:t>
      </w:r>
      <w:r>
        <w:t xml:space="preserve"> </w:t>
      </w:r>
      <w:r w:rsidRPr="00A9237C">
        <w:t xml:space="preserve">To avoid this happening, the Board has the ability to uncap a mark for a whole </w:t>
      </w:r>
      <w:r w:rsidRPr="009F2390">
        <w:t xml:space="preserve">module even if </w:t>
      </w:r>
      <w:r>
        <w:t>personal circumstances</w:t>
      </w:r>
      <w:r w:rsidRPr="009F2390">
        <w:t xml:space="preserve"> only apply to one failed component.  </w:t>
      </w:r>
    </w:p>
    <w:p w14:paraId="12C0392B" w14:textId="77777777" w:rsidR="00D63FC6" w:rsidRDefault="00D63FC6" w:rsidP="00792A60">
      <w:pPr>
        <w:pStyle w:val="Bulletpointstyle"/>
        <w:numPr>
          <w:ilvl w:val="0"/>
          <w:numId w:val="0"/>
        </w:numPr>
        <w:ind w:left="227"/>
      </w:pPr>
    </w:p>
    <w:p w14:paraId="735DE63B" w14:textId="01209C1D" w:rsidR="00CA2AF5" w:rsidRDefault="00D63FC6" w:rsidP="00B75280">
      <w:pPr>
        <w:pStyle w:val="Bulletpointstyle"/>
      </w:pPr>
      <w:r>
        <w:t>If personal circumstances</w:t>
      </w:r>
      <w:r w:rsidRPr="00710C35">
        <w:t xml:space="preserve"> are accepted on a component which is passed at the sit and the other is referred with no </w:t>
      </w:r>
      <w:r>
        <w:t>personal circumstances,</w:t>
      </w:r>
      <w:r w:rsidRPr="00710C35">
        <w:t xml:space="preserve"> </w:t>
      </w:r>
      <w:r>
        <w:t>it is not possible to</w:t>
      </w:r>
      <w:r w:rsidRPr="00710C35">
        <w:t xml:space="preserve"> uncap the whole module.</w:t>
      </w:r>
      <w:r w:rsidR="00B75280">
        <w:t xml:space="preserve"> </w:t>
      </w:r>
      <w:r w:rsidRPr="007341DD">
        <w:t>The mark for the passed component is carried forward to the resit and the mark for the refer</w:t>
      </w:r>
      <w:r w:rsidR="00B75280">
        <w:t xml:space="preserve">red component is capped at 40. </w:t>
      </w:r>
      <w:r w:rsidRPr="007341DD">
        <w:t xml:space="preserve">This </w:t>
      </w:r>
      <w:r>
        <w:t>results in a</w:t>
      </w:r>
      <w:r w:rsidRPr="007341DD">
        <w:t xml:space="preserve"> </w:t>
      </w:r>
      <w:r w:rsidRPr="00B75280">
        <w:rPr>
          <w:b/>
        </w:rPr>
        <w:t>partially</w:t>
      </w:r>
      <w:r w:rsidRPr="007341DD">
        <w:t xml:space="preserve"> capped module mark (one component is capped, one is not).</w:t>
      </w:r>
    </w:p>
    <w:p w14:paraId="74566DCD" w14:textId="77777777" w:rsidR="00CA2AF5" w:rsidRPr="00F31466" w:rsidRDefault="00CA2AF5" w:rsidP="00CA2AF5">
      <w:pPr>
        <w:pStyle w:val="Subtitle"/>
      </w:pPr>
      <w:r>
        <w:t>Granting additional attempts (retakes)</w:t>
      </w:r>
    </w:p>
    <w:p w14:paraId="32BF41CB" w14:textId="77777777" w:rsidR="00CA2AF5" w:rsidRPr="00CA2AF5" w:rsidRDefault="00CA2AF5" w:rsidP="00792A60">
      <w:pPr>
        <w:pStyle w:val="Bulletpointstyle"/>
      </w:pPr>
      <w:r w:rsidRPr="00CA2AF5">
        <w:t>The presence of personal circumstances is enough to confer eligibility for consideration for a retake, the circumstances do not need to have solely impacted on a component which has not been passed.</w:t>
      </w:r>
    </w:p>
    <w:p w14:paraId="6E4BC702" w14:textId="77777777" w:rsidR="00CA2AF5" w:rsidRPr="00DF0619" w:rsidRDefault="00CA2AF5" w:rsidP="001837EA">
      <w:pPr>
        <w:pStyle w:val="Bulletpointstyle"/>
        <w:numPr>
          <w:ilvl w:val="0"/>
          <w:numId w:val="0"/>
        </w:numPr>
        <w:ind w:left="227"/>
      </w:pPr>
    </w:p>
    <w:p w14:paraId="6C1E95C1" w14:textId="77777777" w:rsidR="00CA2AF5" w:rsidRPr="001837EA" w:rsidRDefault="00CA2AF5" w:rsidP="001837EA">
      <w:pPr>
        <w:pStyle w:val="Bulletpointstyle"/>
      </w:pPr>
      <w:r w:rsidRPr="001837EA">
        <w:t>A retake may only be applied at the sit on which the personal circumstances have been accepted.</w:t>
      </w:r>
      <w:r w:rsidR="001159B0" w:rsidRPr="001837EA">
        <w:rPr>
          <w:strike/>
        </w:rPr>
        <w:t xml:space="preserve"> </w:t>
      </w:r>
    </w:p>
    <w:p w14:paraId="6C63FB08" w14:textId="77777777" w:rsidR="00D63FC6" w:rsidRPr="000B3362" w:rsidRDefault="00D63FC6" w:rsidP="00D63FC6">
      <w:pPr>
        <w:pStyle w:val="Subtitle"/>
      </w:pPr>
      <w:r>
        <w:lastRenderedPageBreak/>
        <w:t xml:space="preserve">Use of ‘ongoing’ </w:t>
      </w:r>
    </w:p>
    <w:p w14:paraId="52A24DBA" w14:textId="77777777" w:rsidR="00D63FC6" w:rsidRPr="00285A0C" w:rsidRDefault="00D63FC6" w:rsidP="00792A60">
      <w:pPr>
        <w:pStyle w:val="Bulletpointstyle"/>
      </w:pPr>
      <w:r w:rsidRPr="00285A0C">
        <w:t xml:space="preserve">A decision of ‘ongoing’ should be recorded where the student has passed but there are personal circumstances accepted.  As a result the notation ‘EC’ will appear next to the module at each future Award Board allowing it to be referred to at the point of consideration of the student’s final award.  </w:t>
      </w:r>
      <w:r w:rsidRPr="00880D53">
        <w:rPr>
          <w:b/>
        </w:rPr>
        <w:t>N.B. In this context it does not mean that the personal circumstances themselves are ongoing.</w:t>
      </w:r>
      <w:r w:rsidRPr="00285A0C">
        <w:t xml:space="preserve"> </w:t>
      </w:r>
    </w:p>
    <w:p w14:paraId="378CC119" w14:textId="77777777" w:rsidR="00D63FC6" w:rsidRPr="00F31466" w:rsidRDefault="00D63FC6" w:rsidP="00792A60">
      <w:pPr>
        <w:pStyle w:val="Bulletpointstyle"/>
        <w:numPr>
          <w:ilvl w:val="0"/>
          <w:numId w:val="0"/>
        </w:numPr>
        <w:ind w:left="227"/>
      </w:pPr>
    </w:p>
    <w:p w14:paraId="2DD89E78" w14:textId="742C2DD6" w:rsidR="00FA263F" w:rsidRDefault="00D63FC6" w:rsidP="001837EA">
      <w:pPr>
        <w:pStyle w:val="Bulletpointstyle"/>
      </w:pPr>
      <w:r w:rsidRPr="00F31466">
        <w:t xml:space="preserve">If the board wishes to </w:t>
      </w:r>
      <w:r>
        <w:t>adopt</w:t>
      </w:r>
      <w:r w:rsidRPr="00F31466">
        <w:t xml:space="preserve"> a default position </w:t>
      </w:r>
      <w:r>
        <w:t>of agreeing a decision of</w:t>
      </w:r>
      <w:r w:rsidRPr="00F31466">
        <w:t xml:space="preserve"> ‘ongoing’ to </w:t>
      </w:r>
      <w:r>
        <w:t xml:space="preserve">all </w:t>
      </w:r>
      <w:r w:rsidRPr="00F31466">
        <w:t xml:space="preserve">students who fulfil this criteria, this should be stated at </w:t>
      </w:r>
      <w:r>
        <w:t>the beginning of the meeting. A</w:t>
      </w:r>
      <w:r w:rsidRPr="00F31466">
        <w:t xml:space="preserve">n accurate record may </w:t>
      </w:r>
      <w:r>
        <w:t xml:space="preserve">then </w:t>
      </w:r>
      <w:r w:rsidRPr="00F31466">
        <w:t xml:space="preserve">be made in the minutes and the correct information input into </w:t>
      </w:r>
      <w:r w:rsidR="0031624F">
        <w:t>the record system</w:t>
      </w:r>
      <w:r w:rsidRPr="00F31466">
        <w:t>.</w:t>
      </w:r>
    </w:p>
    <w:p w14:paraId="6AE898C4" w14:textId="77777777" w:rsidR="00880D53" w:rsidRDefault="00880D53" w:rsidP="00880D53">
      <w:pPr>
        <w:pStyle w:val="MainText"/>
      </w:pPr>
    </w:p>
    <w:p w14:paraId="671DFE2F" w14:textId="7457E492" w:rsidR="00880D53" w:rsidRDefault="00880D53" w:rsidP="00880D53">
      <w:pPr>
        <w:pStyle w:val="MainText"/>
      </w:pPr>
      <w:r w:rsidRPr="0023289C">
        <w:t xml:space="preserve">If the module </w:t>
      </w:r>
      <w:r w:rsidRPr="007848EB">
        <w:rPr>
          <w:b/>
        </w:rPr>
        <w:t>has not been passed</w:t>
      </w:r>
      <w:r w:rsidRPr="0023289C">
        <w:t xml:space="preserve"> the board may:</w:t>
      </w:r>
    </w:p>
    <w:p w14:paraId="04AD333C" w14:textId="77777777" w:rsidR="00880D53" w:rsidRPr="0023289C" w:rsidRDefault="00880D53" w:rsidP="00880D53">
      <w:pPr>
        <w:pStyle w:val="MainText"/>
      </w:pPr>
    </w:p>
    <w:p w14:paraId="03933654" w14:textId="77777777" w:rsidR="00880D53" w:rsidRPr="0023289C" w:rsidRDefault="00880D53" w:rsidP="00880D53">
      <w:pPr>
        <w:pStyle w:val="Bulletpointstyle"/>
      </w:pPr>
      <w:r w:rsidRPr="0023289C">
        <w:t>uncap a resit / retake (provided the student is not already capped);</w:t>
      </w:r>
    </w:p>
    <w:p w14:paraId="4197EA77" w14:textId="77777777" w:rsidR="00880D53" w:rsidRPr="0023289C" w:rsidRDefault="00880D53" w:rsidP="00880D53">
      <w:pPr>
        <w:pStyle w:val="Bulletpointstyle"/>
      </w:pPr>
      <w:r w:rsidRPr="0023289C">
        <w:t>consider applying the 80% rule for students exiting with an award;</w:t>
      </w:r>
    </w:p>
    <w:p w14:paraId="7C0AA8AD" w14:textId="77777777" w:rsidR="00880D53" w:rsidRPr="0023289C" w:rsidRDefault="00880D53" w:rsidP="00880D53">
      <w:pPr>
        <w:pStyle w:val="Bulletpointstyle"/>
      </w:pPr>
      <w:r w:rsidRPr="0023289C">
        <w:t>grant the student a further attempt;</w:t>
      </w:r>
    </w:p>
    <w:p w14:paraId="3FF5DFB2" w14:textId="77777777" w:rsidR="00880D53" w:rsidRDefault="00880D53" w:rsidP="00880D53">
      <w:pPr>
        <w:pStyle w:val="MainText"/>
      </w:pPr>
    </w:p>
    <w:p w14:paraId="6A4438E2" w14:textId="77777777" w:rsidR="00CA2AF5" w:rsidRPr="00CA2AF5" w:rsidRDefault="00CA2AF5" w:rsidP="00CA2AF5">
      <w:pPr>
        <w:pStyle w:val="Subtitle"/>
      </w:pPr>
      <w:r w:rsidRPr="00CA2AF5">
        <w:t>Assessment offences and personal circumstances</w:t>
      </w:r>
    </w:p>
    <w:p w14:paraId="56472764" w14:textId="77777777" w:rsidR="00CA2AF5" w:rsidRPr="004027CC" w:rsidRDefault="00CA2AF5" w:rsidP="00792A60">
      <w:pPr>
        <w:pStyle w:val="Bulletpointstyle"/>
        <w:rPr>
          <w:i/>
        </w:rPr>
      </w:pPr>
      <w:r>
        <w:t>I</w:t>
      </w:r>
      <w:r w:rsidRPr="004027CC">
        <w:t xml:space="preserve">f a mark is removed </w:t>
      </w:r>
      <w:r>
        <w:t xml:space="preserve">due to accepted personal circumstances </w:t>
      </w:r>
      <w:r w:rsidRPr="004027CC">
        <w:t>for an assessment where an assessment offence has been proven to have taken place, the record of the assessment offence will remain.</w:t>
      </w:r>
    </w:p>
    <w:p w14:paraId="02BF19BF" w14:textId="77777777" w:rsidR="00FA263F" w:rsidRDefault="00FA263F">
      <w:pPr>
        <w:rPr>
          <w:b/>
          <w:color w:val="FFFFFF" w:themeColor="background1"/>
          <w:sz w:val="28"/>
          <w:szCs w:val="28"/>
        </w:rPr>
      </w:pPr>
      <w:r>
        <w:rPr>
          <w:b/>
          <w:color w:val="FFFFFF" w:themeColor="background1"/>
          <w:sz w:val="28"/>
          <w:szCs w:val="28"/>
        </w:rPr>
        <w:br w:type="page"/>
      </w:r>
    </w:p>
    <w:p w14:paraId="784B75DF" w14:textId="77777777" w:rsidR="00FA263F" w:rsidRPr="0038229F" w:rsidRDefault="00FA263F" w:rsidP="00F75D80">
      <w:pPr>
        <w:shd w:val="clear" w:color="auto" w:fill="2E74B5" w:themeFill="accent1" w:themeFillShade="BF"/>
        <w:rPr>
          <w:b/>
          <w:color w:val="FFFFFF" w:themeColor="background1"/>
          <w:sz w:val="28"/>
          <w:szCs w:val="28"/>
        </w:rPr>
      </w:pPr>
      <w:r>
        <w:rPr>
          <w:b/>
          <w:color w:val="FFFFFF" w:themeColor="background1"/>
          <w:sz w:val="28"/>
          <w:szCs w:val="28"/>
        </w:rPr>
        <w:lastRenderedPageBreak/>
        <w:t>AWARD BOARD – AEGROTAT AND POSTHUMOUS AWARDS</w:t>
      </w:r>
    </w:p>
    <w:p w14:paraId="01F5E2C8" w14:textId="77777777" w:rsidR="00FA263F" w:rsidRDefault="00FA263F" w:rsidP="00FA263F"/>
    <w:p w14:paraId="5109B2F3" w14:textId="77777777" w:rsidR="00F75D80" w:rsidRDefault="00F75D80" w:rsidP="00F75D80">
      <w:pPr>
        <w:pStyle w:val="MainText"/>
      </w:pPr>
      <w:r>
        <w:t xml:space="preserve">Occasionally an Award Board may be required to consider making an award to a student who was unable to complete because of illness or incapacity or </w:t>
      </w:r>
      <w:r w:rsidR="0001378A">
        <w:t xml:space="preserve">because </w:t>
      </w:r>
      <w:r>
        <w:t>they are deceased.</w:t>
      </w:r>
    </w:p>
    <w:p w14:paraId="7C22F921" w14:textId="77777777" w:rsidR="00FA263F" w:rsidRPr="00FE0103" w:rsidRDefault="000661D8" w:rsidP="00FA263F">
      <w:pPr>
        <w:pStyle w:val="Subtitle"/>
      </w:pPr>
      <w:bookmarkStart w:id="21" w:name="_Toc424725516"/>
      <w:bookmarkStart w:id="22" w:name="_Toc456256976"/>
      <w:r>
        <w:t>M1</w:t>
      </w:r>
      <w:r w:rsidR="00FA263F" w:rsidRPr="00FE0103">
        <w:t>. Aegrotat awards</w:t>
      </w:r>
      <w:bookmarkEnd w:id="21"/>
      <w:bookmarkEnd w:id="22"/>
    </w:p>
    <w:p w14:paraId="64BC6A8F" w14:textId="77777777" w:rsidR="00FA263F" w:rsidRPr="00A766B9" w:rsidRDefault="00FA263F" w:rsidP="00FA263F"/>
    <w:p w14:paraId="2B50EEA8" w14:textId="77777777" w:rsidR="00FA263F" w:rsidRPr="00A766B9" w:rsidRDefault="00FA263F" w:rsidP="00FA263F">
      <w:pPr>
        <w:pStyle w:val="MainText"/>
      </w:pPr>
      <w:r w:rsidRPr="00A766B9">
        <w:t>A student may be granted an unclassified aegrotat award where illness or a similar cause has meant they cannot complete the required assessments and there is evidence</w:t>
      </w:r>
      <w:r w:rsidR="00A264F8">
        <w:t xml:space="preserve"> from previously submitted work</w:t>
      </w:r>
      <w:r w:rsidRPr="00A766B9">
        <w:t xml:space="preserve"> that</w:t>
      </w:r>
      <w:r w:rsidR="00A264F8">
        <w:t>,</w:t>
      </w:r>
      <w:r w:rsidRPr="00A766B9">
        <w:t xml:space="preserve"> had they been assessed, they would have achieved the necessary standard for the award. </w:t>
      </w:r>
    </w:p>
    <w:p w14:paraId="5AE05C6D" w14:textId="77777777" w:rsidR="00FA263F" w:rsidRPr="00A766B9" w:rsidRDefault="00FA263F" w:rsidP="00FA263F">
      <w:pPr>
        <w:pStyle w:val="MainText"/>
      </w:pPr>
    </w:p>
    <w:p w14:paraId="6C46A0AE" w14:textId="77777777" w:rsidR="00FA263F" w:rsidRDefault="00FA263F" w:rsidP="00FA263F">
      <w:pPr>
        <w:pStyle w:val="MainText"/>
      </w:pPr>
      <w:r w:rsidRPr="00A766B9">
        <w:t>An aegrotat award is not classified neither is it awarded with merit, distinction or other differential level.</w:t>
      </w:r>
    </w:p>
    <w:p w14:paraId="6C8F204E" w14:textId="77777777" w:rsidR="000661D8" w:rsidRDefault="000661D8" w:rsidP="00FA263F">
      <w:pPr>
        <w:pStyle w:val="MainText"/>
      </w:pPr>
    </w:p>
    <w:p w14:paraId="49D73C28" w14:textId="77777777" w:rsidR="00FA263F" w:rsidRDefault="000661D8" w:rsidP="009C2E48">
      <w:pPr>
        <w:pStyle w:val="MainText"/>
      </w:pPr>
      <w:r w:rsidRPr="009C2E48">
        <w:t>Except in the case of posthumous awards, the student must have signified that they are willing to accept the award and understand they waive the right to be assessed.</w:t>
      </w:r>
    </w:p>
    <w:p w14:paraId="612BB30E" w14:textId="77777777" w:rsidR="00FA263F" w:rsidRDefault="000661D8" w:rsidP="006F695C">
      <w:pPr>
        <w:pStyle w:val="Subtitle"/>
      </w:pPr>
      <w:r>
        <w:t>M2</w:t>
      </w:r>
      <w:r w:rsidR="00FA263F">
        <w:t>. Posthumous awards</w:t>
      </w:r>
    </w:p>
    <w:p w14:paraId="648108D5" w14:textId="77777777" w:rsidR="00FA263F" w:rsidRDefault="00FA263F" w:rsidP="00FA263F">
      <w:pPr>
        <w:pStyle w:val="PlainText"/>
      </w:pPr>
    </w:p>
    <w:p w14:paraId="453CD109" w14:textId="77777777" w:rsidR="00FA263F" w:rsidRPr="006F695C" w:rsidRDefault="00FA263F" w:rsidP="006F695C">
      <w:pPr>
        <w:pStyle w:val="MainText"/>
      </w:pPr>
      <w:r w:rsidRPr="006F695C">
        <w:t>A deceased student may be granted a normal</w:t>
      </w:r>
      <w:r w:rsidR="0001378A">
        <w:t>*</w:t>
      </w:r>
      <w:r w:rsidRPr="006F695C">
        <w:t xml:space="preserve"> or aegrotat</w:t>
      </w:r>
      <w:r w:rsidR="004C323F">
        <w:t>**</w:t>
      </w:r>
      <w:r w:rsidRPr="006F695C">
        <w:t xml:space="preserve"> award posthumously if registered at the time of death and where there is sufficient evidence from previously submitted work that, had they been assessed, they would have achieved the necessary standard for the award.</w:t>
      </w:r>
    </w:p>
    <w:p w14:paraId="492C1133" w14:textId="77777777" w:rsidR="00FA263F" w:rsidRPr="006F695C" w:rsidRDefault="00FA263F" w:rsidP="006F695C">
      <w:pPr>
        <w:pStyle w:val="MainText"/>
        <w:rPr>
          <w:b/>
        </w:rPr>
      </w:pPr>
    </w:p>
    <w:p w14:paraId="3A9C9D95" w14:textId="77777777" w:rsidR="00FA263F" w:rsidRPr="006F695C" w:rsidRDefault="00FA263F" w:rsidP="006F695C">
      <w:pPr>
        <w:pStyle w:val="MainText"/>
      </w:pPr>
      <w:r w:rsidRPr="006F695C">
        <w:t>A report should be submitted to Academic Board as and when aegrotat and posthumous awards are made.</w:t>
      </w:r>
    </w:p>
    <w:p w14:paraId="25561E9E" w14:textId="77777777" w:rsidR="00FA263F" w:rsidRPr="006F695C" w:rsidRDefault="00FA263F" w:rsidP="006F695C">
      <w:pPr>
        <w:pStyle w:val="MainText"/>
        <w:rPr>
          <w:b/>
        </w:rPr>
      </w:pPr>
    </w:p>
    <w:p w14:paraId="73E163CB" w14:textId="77777777" w:rsidR="004C323F" w:rsidRDefault="0001378A" w:rsidP="00C502E3">
      <w:pPr>
        <w:pStyle w:val="MainText"/>
      </w:pPr>
      <w:r>
        <w:t>*</w:t>
      </w:r>
      <w:r w:rsidR="00FA263F" w:rsidRPr="0001378A">
        <w:t xml:space="preserve">A normal award </w:t>
      </w:r>
      <w:r w:rsidR="00E37425">
        <w:t>is made where a student has</w:t>
      </w:r>
      <w:r w:rsidR="00FA263F" w:rsidRPr="0001378A">
        <w:t xml:space="preserve"> completed all modules (or </w:t>
      </w:r>
      <w:r w:rsidR="00FA263F" w:rsidRPr="00E37425">
        <w:rPr>
          <w:b/>
        </w:rPr>
        <w:t>could</w:t>
      </w:r>
      <w:r w:rsidR="00FA263F" w:rsidRPr="0001378A">
        <w:t xml:space="preserve"> be awarded credit </w:t>
      </w:r>
      <w:r w:rsidR="00E37425" w:rsidRPr="0001378A">
        <w:t>for example</w:t>
      </w:r>
      <w:r w:rsidR="00E37425">
        <w:t>,</w:t>
      </w:r>
      <w:r w:rsidR="00E37425" w:rsidRPr="0001378A">
        <w:t xml:space="preserve"> </w:t>
      </w:r>
      <w:r w:rsidR="00FA263F" w:rsidRPr="0001378A">
        <w:t xml:space="preserve">on the grounds of </w:t>
      </w:r>
      <w:r w:rsidR="00E37425">
        <w:t>the 80% rule), so it can</w:t>
      </w:r>
      <w:r>
        <w:t xml:space="preserve"> be classified</w:t>
      </w:r>
      <w:r w:rsidR="00FA263F" w:rsidRPr="0001378A">
        <w:t xml:space="preserve">. </w:t>
      </w:r>
    </w:p>
    <w:p w14:paraId="28BE5F21" w14:textId="77777777" w:rsidR="004C323F" w:rsidRDefault="004C323F" w:rsidP="00C502E3">
      <w:pPr>
        <w:pStyle w:val="MainText"/>
      </w:pPr>
    </w:p>
    <w:p w14:paraId="2A543C8C" w14:textId="77777777" w:rsidR="009C377D" w:rsidRPr="00FC7C60" w:rsidRDefault="004C323F" w:rsidP="00C502E3">
      <w:pPr>
        <w:pStyle w:val="MainText"/>
      </w:pPr>
      <w:r>
        <w:t>**A</w:t>
      </w:r>
      <w:r w:rsidR="007A3DC3">
        <w:t xml:space="preserve"> posthumous </w:t>
      </w:r>
      <w:r>
        <w:t xml:space="preserve">aegrotat </w:t>
      </w:r>
      <w:r w:rsidR="007A3DC3">
        <w:t>degree should be awarded with honours</w:t>
      </w:r>
      <w:r>
        <w:t xml:space="preserve">, but is unclassified. Students </w:t>
      </w:r>
      <w:r w:rsidR="007A3DC3" w:rsidRPr="00FC7C60">
        <w:t xml:space="preserve">should be </w:t>
      </w:r>
      <w:r w:rsidR="00FC7C60">
        <w:t>granted</w:t>
      </w:r>
      <w:r w:rsidR="007A3DC3" w:rsidRPr="00FC7C60">
        <w:t xml:space="preserve"> </w:t>
      </w:r>
      <w:r w:rsidR="009C377D" w:rsidRPr="00FC7C60">
        <w:t xml:space="preserve">their target award irrespective of </w:t>
      </w:r>
      <w:r w:rsidR="007A3DC3" w:rsidRPr="00FC7C60">
        <w:t xml:space="preserve">the duration they were registered </w:t>
      </w:r>
      <w:r>
        <w:t>for,</w:t>
      </w:r>
      <w:r w:rsidR="007A3DC3" w:rsidRPr="00FC7C60">
        <w:t xml:space="preserve"> or </w:t>
      </w:r>
      <w:r w:rsidR="009C377D" w:rsidRPr="00FC7C60">
        <w:t xml:space="preserve">how much of the programme had been completed. For example, a student on level 1 of an honours degree should be awarded a degree, a student on a Masters award should be awarded </w:t>
      </w:r>
      <w:r w:rsidR="007A3DC3" w:rsidRPr="00FC7C60">
        <w:t xml:space="preserve">the full Masters </w:t>
      </w:r>
      <w:r w:rsidR="00FC7C60">
        <w:t>rather than</w:t>
      </w:r>
      <w:r w:rsidR="007A3DC3" w:rsidRPr="00FC7C60">
        <w:t xml:space="preserve"> a PG Cert or </w:t>
      </w:r>
      <w:r w:rsidR="009C377D" w:rsidRPr="00FC7C60">
        <w:t>PG Dip.</w:t>
      </w:r>
    </w:p>
    <w:p w14:paraId="7CA38C3D" w14:textId="77777777" w:rsidR="00FC7C60" w:rsidRPr="00FC7C60" w:rsidRDefault="00FC7C60" w:rsidP="00C502E3">
      <w:pPr>
        <w:pStyle w:val="MainText"/>
      </w:pPr>
    </w:p>
    <w:p w14:paraId="29480802" w14:textId="77777777" w:rsidR="00FA263F" w:rsidRDefault="00FC7C60" w:rsidP="00C502E3">
      <w:pPr>
        <w:pStyle w:val="MainText"/>
      </w:pPr>
      <w:r>
        <w:t xml:space="preserve">Students on a named </w:t>
      </w:r>
      <w:r w:rsidRPr="00FC7C60">
        <w:t xml:space="preserve">award which would normally confer professional body accreditation or registration should be granted the default award. </w:t>
      </w:r>
    </w:p>
    <w:p w14:paraId="4B67F457" w14:textId="77777777" w:rsidR="004C323F" w:rsidRDefault="004C323F" w:rsidP="0023289C">
      <w:pPr>
        <w:pStyle w:val="Subtitle"/>
      </w:pPr>
    </w:p>
    <w:p w14:paraId="6E158F9C" w14:textId="77777777" w:rsidR="004C323F" w:rsidRPr="0038229F" w:rsidRDefault="004C323F" w:rsidP="004C323F">
      <w:pPr>
        <w:shd w:val="clear" w:color="auto" w:fill="3CACAC"/>
        <w:rPr>
          <w:b/>
          <w:color w:val="FFFFFF" w:themeColor="background1"/>
          <w:sz w:val="28"/>
          <w:szCs w:val="28"/>
        </w:rPr>
      </w:pPr>
      <w:r>
        <w:rPr>
          <w:b/>
          <w:color w:val="FFFFFF" w:themeColor="background1"/>
          <w:sz w:val="28"/>
          <w:szCs w:val="28"/>
        </w:rPr>
        <w:lastRenderedPageBreak/>
        <w:t xml:space="preserve">AWARD BOARD – </w:t>
      </w:r>
      <w:r w:rsidR="00396134">
        <w:rPr>
          <w:b/>
          <w:color w:val="FFFFFF" w:themeColor="background1"/>
          <w:sz w:val="28"/>
          <w:szCs w:val="28"/>
        </w:rPr>
        <w:t>PROGRESSION</w:t>
      </w:r>
    </w:p>
    <w:p w14:paraId="4C3343FD" w14:textId="77777777" w:rsidR="004C323F" w:rsidRPr="004C323F" w:rsidRDefault="004C323F" w:rsidP="004C323F"/>
    <w:p w14:paraId="65C42589" w14:textId="77777777" w:rsidR="00B94E0D" w:rsidRDefault="00B94E0D" w:rsidP="0023289C">
      <w:pPr>
        <w:pStyle w:val="Subtitle"/>
      </w:pPr>
      <w:r>
        <w:t>Progression to level 1 from level 0</w:t>
      </w:r>
    </w:p>
    <w:p w14:paraId="30E0F6CD" w14:textId="77777777" w:rsidR="00B94E0D" w:rsidRDefault="00B94E0D" w:rsidP="00B94E0D"/>
    <w:p w14:paraId="4168DDE1" w14:textId="77777777" w:rsidR="00B94E0D" w:rsidRDefault="00B94E0D" w:rsidP="0023289C">
      <w:pPr>
        <w:pStyle w:val="MainText"/>
      </w:pPr>
      <w:r w:rsidRPr="00D33388">
        <w:t xml:space="preserve">The </w:t>
      </w:r>
      <w:r w:rsidRPr="00D33388">
        <w:rPr>
          <w:b/>
        </w:rPr>
        <w:t>normal</w:t>
      </w:r>
      <w:r w:rsidRPr="00D33388">
        <w:t xml:space="preserve"> expectation is that students will successfully complete the full 120 credits at level 0 before progressing into level 1.</w:t>
      </w:r>
    </w:p>
    <w:p w14:paraId="6F14DE8C" w14:textId="77777777" w:rsidR="00783E19" w:rsidRPr="00D33388" w:rsidRDefault="00783E19" w:rsidP="0023289C">
      <w:pPr>
        <w:pStyle w:val="MainText"/>
      </w:pPr>
    </w:p>
    <w:p w14:paraId="0EAA8A96" w14:textId="77777777" w:rsidR="00B94E0D" w:rsidRDefault="000661D8" w:rsidP="0023289C">
      <w:pPr>
        <w:pStyle w:val="MainText"/>
      </w:pPr>
      <w:r>
        <w:t xml:space="preserve">The Terms of Reference of an Award Board, stated within the </w:t>
      </w:r>
      <w:hyperlink r:id="rId19" w:history="1">
        <w:r w:rsidRPr="000661D8">
          <w:rPr>
            <w:rStyle w:val="Hyperlink"/>
            <w:rFonts w:cs="Tahoma"/>
          </w:rPr>
          <w:t>Examining Board Code of Practice</w:t>
        </w:r>
      </w:hyperlink>
      <w:r w:rsidR="00B94E0D" w:rsidRPr="00D33388">
        <w:t xml:space="preserve"> states that it is the Award Board’s responsibility to determine ‘the progression of a student to further study on an award’. Therefore, if after the resit, a student has not passed all credits at level 0 the Award Board should determine whether the student’s achievement is sufficient enough to enable progression to level 1.</w:t>
      </w:r>
    </w:p>
    <w:p w14:paraId="3F935B5B" w14:textId="77777777" w:rsidR="00783E19" w:rsidRPr="00D33388" w:rsidRDefault="00783E19" w:rsidP="0023289C">
      <w:pPr>
        <w:pStyle w:val="MainText"/>
      </w:pPr>
    </w:p>
    <w:p w14:paraId="13249B1C" w14:textId="77777777" w:rsidR="00B94E0D" w:rsidRDefault="00B94E0D" w:rsidP="0023289C">
      <w:pPr>
        <w:pStyle w:val="MainText"/>
      </w:pPr>
      <w:r w:rsidRPr="00D33388">
        <w:t>Award Boards are asked to consider whether allowing progression is in the student’s best interests taking the following into account:</w:t>
      </w:r>
    </w:p>
    <w:p w14:paraId="7E5F4DF8" w14:textId="77777777" w:rsidR="00783E19" w:rsidRPr="00D33388" w:rsidRDefault="00783E19" w:rsidP="0023289C">
      <w:pPr>
        <w:pStyle w:val="MainText"/>
      </w:pPr>
    </w:p>
    <w:p w14:paraId="293F2A44" w14:textId="77777777" w:rsidR="00B94E0D" w:rsidRPr="00383548" w:rsidRDefault="00B94E0D" w:rsidP="00792A60">
      <w:pPr>
        <w:pStyle w:val="Bulletpointstyle"/>
      </w:pPr>
      <w:r w:rsidRPr="00383548">
        <w:t>The overall number of modules which have not yet been passed.</w:t>
      </w:r>
    </w:p>
    <w:p w14:paraId="77454040" w14:textId="77777777" w:rsidR="00B94E0D" w:rsidRPr="00383548" w:rsidRDefault="00B94E0D" w:rsidP="00792A60">
      <w:pPr>
        <w:pStyle w:val="Bulletpointstyle"/>
      </w:pPr>
      <w:r w:rsidRPr="00383548">
        <w:t xml:space="preserve">If approved </w:t>
      </w:r>
      <w:r w:rsidR="00C30BBA" w:rsidRPr="00383548">
        <w:t>personal circumstances</w:t>
      </w:r>
      <w:r w:rsidRPr="00383548">
        <w:t xml:space="preserve"> are present for a module which has not been passed.</w:t>
      </w:r>
    </w:p>
    <w:p w14:paraId="36BED761" w14:textId="77777777" w:rsidR="00B94E0D" w:rsidRPr="00383548" w:rsidRDefault="00B94E0D" w:rsidP="00792A60">
      <w:pPr>
        <w:pStyle w:val="Bulletpointstyle"/>
      </w:pPr>
      <w:r w:rsidRPr="00383548">
        <w:t>Whether the student has a mark in the condonable range for a module which has not been passed.</w:t>
      </w:r>
    </w:p>
    <w:p w14:paraId="52596F17" w14:textId="77777777" w:rsidR="00B94E0D" w:rsidRPr="00383548" w:rsidRDefault="00B94E0D" w:rsidP="00792A60">
      <w:pPr>
        <w:pStyle w:val="Bulletpointstyle"/>
      </w:pPr>
      <w:r w:rsidRPr="00383548">
        <w:t>Would progression be to the benefit of the student or is there risk of further failure?</w:t>
      </w:r>
    </w:p>
    <w:p w14:paraId="4C07B0CD" w14:textId="77777777" w:rsidR="00B94E0D" w:rsidRPr="00383548" w:rsidRDefault="00B94E0D" w:rsidP="00792A60">
      <w:pPr>
        <w:pStyle w:val="Bulletpointstyle"/>
      </w:pPr>
      <w:r w:rsidRPr="00383548">
        <w:t xml:space="preserve">Students on undergraduate programmes on a full time mode of delivery may normally enrol for a maximum of 150 credits in one academic year. </w:t>
      </w:r>
    </w:p>
    <w:p w14:paraId="5E169471" w14:textId="77777777" w:rsidR="00B94E0D" w:rsidRPr="00383548" w:rsidRDefault="00B94E0D" w:rsidP="00792A60">
      <w:pPr>
        <w:pStyle w:val="Bulletpointstyle"/>
      </w:pPr>
      <w:r w:rsidRPr="00383548">
        <w:t>Are there any Professional and Statutory Body requirements / constraints?</w:t>
      </w:r>
    </w:p>
    <w:p w14:paraId="2349A971" w14:textId="77777777" w:rsidR="0023289C" w:rsidRPr="00D33388" w:rsidRDefault="0023289C" w:rsidP="00792A60">
      <w:pPr>
        <w:pStyle w:val="Bulletpointstyle"/>
        <w:numPr>
          <w:ilvl w:val="0"/>
          <w:numId w:val="0"/>
        </w:numPr>
        <w:ind w:left="227"/>
      </w:pPr>
    </w:p>
    <w:p w14:paraId="5BF6073A" w14:textId="77777777" w:rsidR="00B94E0D" w:rsidRPr="00D33388" w:rsidRDefault="00B94E0D" w:rsidP="0023289C">
      <w:pPr>
        <w:pStyle w:val="MainText"/>
      </w:pPr>
      <w:r w:rsidRPr="00D33388">
        <w:t>A student who the Board agrees should not proceed to level 1 at this point may still retake the level 0 modules they have not passed in the normal way with a view to progressing in the future (provided they are eligible for a retake).</w:t>
      </w:r>
    </w:p>
    <w:p w14:paraId="0880183C" w14:textId="77777777" w:rsidR="00396134" w:rsidRDefault="00396134" w:rsidP="00B94E0D"/>
    <w:p w14:paraId="352E794F" w14:textId="77777777" w:rsidR="00396134" w:rsidRDefault="00396134" w:rsidP="00396134">
      <w:pPr>
        <w:pStyle w:val="Subtitle"/>
      </w:pPr>
      <w:r>
        <w:t>Progression from a Foundation Degree to an Honours Degree</w:t>
      </w:r>
    </w:p>
    <w:p w14:paraId="52F0986D" w14:textId="77777777" w:rsidR="00396134" w:rsidRPr="00396134" w:rsidRDefault="00396134" w:rsidP="00417C0C">
      <w:pPr>
        <w:pStyle w:val="MainText"/>
      </w:pPr>
      <w:r>
        <w:t xml:space="preserve">Students registered on a Foundation Degree </w:t>
      </w:r>
      <w:r w:rsidR="00CA134F">
        <w:t xml:space="preserve">but who have not completed it, </w:t>
      </w:r>
      <w:r>
        <w:t>should not be permitted to progress onto an Honours Degree trailing a module/s between the two awards.</w:t>
      </w:r>
    </w:p>
    <w:p w14:paraId="7314676F" w14:textId="77777777" w:rsidR="00B94E0D" w:rsidRDefault="00B94E0D" w:rsidP="00B94E0D">
      <w:r>
        <w:br w:type="page"/>
      </w:r>
    </w:p>
    <w:p w14:paraId="70D1055B" w14:textId="77777777" w:rsidR="00B94E0D" w:rsidRPr="0038229F" w:rsidRDefault="00B94E0D" w:rsidP="00B94E0D">
      <w:pPr>
        <w:shd w:val="clear" w:color="auto" w:fill="8496B0" w:themeFill="text2" w:themeFillTint="99"/>
        <w:rPr>
          <w:b/>
          <w:color w:val="FFFFFF" w:themeColor="background1"/>
          <w:sz w:val="28"/>
          <w:szCs w:val="28"/>
        </w:rPr>
      </w:pPr>
      <w:r w:rsidRPr="0038229F">
        <w:rPr>
          <w:b/>
          <w:color w:val="FFFFFF" w:themeColor="background1"/>
          <w:sz w:val="28"/>
          <w:szCs w:val="28"/>
        </w:rPr>
        <w:lastRenderedPageBreak/>
        <w:t>RECONVENED BOARDS</w:t>
      </w:r>
    </w:p>
    <w:p w14:paraId="1DC773F7" w14:textId="77777777" w:rsidR="00B94E0D" w:rsidRDefault="00B94E0D" w:rsidP="0023289C">
      <w:pPr>
        <w:pStyle w:val="Subtitle"/>
      </w:pPr>
      <w:bookmarkStart w:id="23" w:name="_Toc420923465"/>
      <w:bookmarkStart w:id="24" w:name="_Toc440026551"/>
      <w:r w:rsidRPr="00A10796">
        <w:t>Reconvened examining boards</w:t>
      </w:r>
      <w:bookmarkEnd w:id="23"/>
      <w:bookmarkEnd w:id="24"/>
    </w:p>
    <w:p w14:paraId="07B8809C" w14:textId="77777777" w:rsidR="009C2E48" w:rsidRDefault="009C2E48" w:rsidP="0023289C">
      <w:pPr>
        <w:pStyle w:val="MainText"/>
      </w:pPr>
    </w:p>
    <w:p w14:paraId="4C2A84C9" w14:textId="6B0AE523" w:rsidR="00B94E0D" w:rsidRPr="00377CD8" w:rsidRDefault="00B94E0D" w:rsidP="0023289C">
      <w:pPr>
        <w:pStyle w:val="MainText"/>
      </w:pPr>
      <w:r w:rsidRPr="00377CD8">
        <w:t xml:space="preserve">If an examining board is required to review a decision after the </w:t>
      </w:r>
      <w:r>
        <w:t xml:space="preserve">full </w:t>
      </w:r>
      <w:r w:rsidRPr="00377CD8">
        <w:t xml:space="preserve">meeting, the </w:t>
      </w:r>
      <w:r w:rsidR="001C04EB">
        <w:t xml:space="preserve">authority </w:t>
      </w:r>
      <w:r w:rsidRPr="00377CD8">
        <w:t>may be delegated to a sub</w:t>
      </w:r>
      <w:r w:rsidR="00880D53">
        <w:t>-</w:t>
      </w:r>
      <w:r w:rsidRPr="00377CD8">
        <w:t>committee</w:t>
      </w:r>
      <w:r w:rsidR="001C04EB">
        <w:t xml:space="preserve"> to act on its behalf</w:t>
      </w:r>
      <w:r w:rsidRPr="00377CD8">
        <w:t xml:space="preserve"> (known as a reconvened board) with terms of reference limited to the review in</w:t>
      </w:r>
      <w:r w:rsidR="00BC63C8">
        <w:t xml:space="preserve"> question. </w:t>
      </w:r>
      <w:r w:rsidR="001C04EB">
        <w:t xml:space="preserve">The </w:t>
      </w:r>
      <w:hyperlink r:id="rId20" w:history="1">
        <w:r w:rsidR="001C04EB" w:rsidRPr="001C04EB">
          <w:rPr>
            <w:rStyle w:val="Hyperlink"/>
            <w:rFonts w:cs="Tahoma"/>
          </w:rPr>
          <w:t>Examining Board Code of Practice</w:t>
        </w:r>
      </w:hyperlink>
      <w:r w:rsidR="001C04EB">
        <w:t xml:space="preserve"> states</w:t>
      </w:r>
      <w:r w:rsidRPr="00E442EF">
        <w:t>:</w:t>
      </w:r>
    </w:p>
    <w:p w14:paraId="163501FE" w14:textId="77777777" w:rsidR="00B94E0D" w:rsidRPr="00377CD8" w:rsidRDefault="00B94E0D" w:rsidP="0023289C">
      <w:pPr>
        <w:pStyle w:val="MainText"/>
      </w:pPr>
    </w:p>
    <w:p w14:paraId="0A9A2121" w14:textId="3CF15882" w:rsidR="00B94E0D" w:rsidRDefault="00B94E0D" w:rsidP="00401DFF">
      <w:pPr>
        <w:pStyle w:val="MainText"/>
        <w:pBdr>
          <w:top w:val="single" w:sz="4" w:space="1" w:color="auto"/>
          <w:left w:val="single" w:sz="4" w:space="4" w:color="auto"/>
          <w:bottom w:val="single" w:sz="4" w:space="1" w:color="auto"/>
          <w:right w:val="single" w:sz="4" w:space="4" w:color="auto"/>
        </w:pBdr>
      </w:pPr>
      <w:r w:rsidRPr="00AD26E5">
        <w:t xml:space="preserve">The quorum for a sub-committee of an examining board is five, and normally at least three members must have been present at the original meeting, one of whom should be the </w:t>
      </w:r>
      <w:r w:rsidR="001105CA">
        <w:t>Chair</w:t>
      </w:r>
      <w:r w:rsidRPr="00AD26E5">
        <w:t xml:space="preserve"> or their nominee. The sub-committee may be convened virtually or as a formal meeting. </w:t>
      </w:r>
    </w:p>
    <w:p w14:paraId="55F596C6" w14:textId="77777777" w:rsidR="00401DFF" w:rsidRPr="00AD26E5" w:rsidRDefault="00401DFF" w:rsidP="00401DFF">
      <w:pPr>
        <w:pStyle w:val="MainText"/>
        <w:pBdr>
          <w:top w:val="single" w:sz="4" w:space="1" w:color="auto"/>
          <w:left w:val="single" w:sz="4" w:space="4" w:color="auto"/>
          <w:bottom w:val="single" w:sz="4" w:space="1" w:color="auto"/>
          <w:right w:val="single" w:sz="4" w:space="4" w:color="auto"/>
        </w:pBdr>
      </w:pPr>
    </w:p>
    <w:p w14:paraId="49A61514" w14:textId="77777777" w:rsidR="00B94E0D" w:rsidRDefault="00B94E0D" w:rsidP="00401DFF">
      <w:pPr>
        <w:pStyle w:val="MainText"/>
        <w:pBdr>
          <w:top w:val="single" w:sz="4" w:space="1" w:color="auto"/>
          <w:left w:val="single" w:sz="4" w:space="4" w:color="auto"/>
          <w:bottom w:val="single" w:sz="4" w:space="1" w:color="auto"/>
          <w:right w:val="single" w:sz="4" w:space="4" w:color="auto"/>
        </w:pBdr>
      </w:pPr>
      <w:r w:rsidRPr="00AD26E5">
        <w:t xml:space="preserve">Where possible an external examiner will be a member of the sub group, but if this is not possible an external examiner should be consulted. If the decision relates to an award, the </w:t>
      </w:r>
      <w:r w:rsidR="001C04EB">
        <w:t>chief</w:t>
      </w:r>
      <w:r w:rsidR="001C04EB" w:rsidRPr="00AD26E5">
        <w:t xml:space="preserve"> </w:t>
      </w:r>
      <w:r w:rsidRPr="00AD26E5">
        <w:t xml:space="preserve">external examiner should either be a member of the sub group or be consulted. </w:t>
      </w:r>
    </w:p>
    <w:p w14:paraId="0383705E" w14:textId="77777777" w:rsidR="00401DFF" w:rsidRPr="00AD26E5" w:rsidRDefault="00401DFF" w:rsidP="00401DFF">
      <w:pPr>
        <w:pStyle w:val="MainText"/>
        <w:pBdr>
          <w:top w:val="single" w:sz="4" w:space="1" w:color="auto"/>
          <w:left w:val="single" w:sz="4" w:space="4" w:color="auto"/>
          <w:bottom w:val="single" w:sz="4" w:space="1" w:color="auto"/>
          <w:right w:val="single" w:sz="4" w:space="4" w:color="auto"/>
        </w:pBdr>
      </w:pPr>
    </w:p>
    <w:p w14:paraId="647A804A" w14:textId="657C6468" w:rsidR="00B94E0D" w:rsidRPr="00AD26E5" w:rsidRDefault="00B94E0D" w:rsidP="00401DFF">
      <w:pPr>
        <w:pStyle w:val="MainText"/>
        <w:pBdr>
          <w:top w:val="single" w:sz="4" w:space="1" w:color="auto"/>
          <w:left w:val="single" w:sz="4" w:space="4" w:color="auto"/>
          <w:bottom w:val="single" w:sz="4" w:space="1" w:color="auto"/>
          <w:right w:val="single" w:sz="4" w:space="4" w:color="auto"/>
        </w:pBdr>
      </w:pPr>
      <w:r w:rsidRPr="00AD26E5">
        <w:t xml:space="preserve">The consent of an external examiner is required for any changes to the original decision of an examining board and written consent from the </w:t>
      </w:r>
      <w:r w:rsidR="000D0060">
        <w:t>chief</w:t>
      </w:r>
      <w:r w:rsidR="000D0060" w:rsidRPr="00AD26E5">
        <w:t xml:space="preserve"> </w:t>
      </w:r>
      <w:r w:rsidRPr="00AD26E5">
        <w:t>external examiner is required for any changes to the original award granted.</w:t>
      </w:r>
    </w:p>
    <w:p w14:paraId="4A989549" w14:textId="77777777" w:rsidR="00B94E0D" w:rsidRPr="00762A97" w:rsidRDefault="00B94E0D" w:rsidP="00401DFF">
      <w:pPr>
        <w:pStyle w:val="MainText"/>
        <w:pBdr>
          <w:top w:val="single" w:sz="4" w:space="1" w:color="auto"/>
          <w:left w:val="single" w:sz="4" w:space="4" w:color="auto"/>
          <w:bottom w:val="single" w:sz="4" w:space="1" w:color="auto"/>
          <w:right w:val="single" w:sz="4" w:space="4" w:color="auto"/>
        </w:pBdr>
      </w:pPr>
    </w:p>
    <w:p w14:paraId="5AA3FBC4" w14:textId="77777777" w:rsidR="00B94E0D" w:rsidRDefault="00B94E0D" w:rsidP="00B94E0D">
      <w:pPr>
        <w:rPr>
          <w:sz w:val="20"/>
        </w:rPr>
      </w:pPr>
    </w:p>
    <w:p w14:paraId="5FFE7DC5" w14:textId="77777777" w:rsidR="00B94E0D" w:rsidRDefault="00B94E0D" w:rsidP="00B94E0D">
      <w:pPr>
        <w:rPr>
          <w:sz w:val="20"/>
        </w:rPr>
      </w:pPr>
    </w:p>
    <w:p w14:paraId="412BDA2A" w14:textId="77777777" w:rsidR="00B94E0D" w:rsidRDefault="00B94E0D" w:rsidP="00B94E0D">
      <w:pPr>
        <w:rPr>
          <w:sz w:val="20"/>
        </w:rPr>
      </w:pPr>
    </w:p>
    <w:p w14:paraId="4A5D50CD" w14:textId="77777777" w:rsidR="00B94E0D" w:rsidRDefault="00B94E0D" w:rsidP="00B94E0D">
      <w:pPr>
        <w:rPr>
          <w:sz w:val="20"/>
        </w:rPr>
      </w:pPr>
    </w:p>
    <w:p w14:paraId="78F1B69D" w14:textId="77777777" w:rsidR="00D077D1" w:rsidRDefault="00D077D1">
      <w:pPr>
        <w:rPr>
          <w:sz w:val="20"/>
        </w:rPr>
      </w:pPr>
      <w:r>
        <w:rPr>
          <w:sz w:val="20"/>
        </w:rPr>
        <w:br w:type="page"/>
      </w:r>
    </w:p>
    <w:p w14:paraId="6BF7A5AF" w14:textId="77777777" w:rsidR="00AB435C" w:rsidRPr="00FC5BBE" w:rsidRDefault="00AB435C" w:rsidP="00906E81">
      <w:pPr>
        <w:shd w:val="clear" w:color="auto" w:fill="2C6EAA"/>
        <w:spacing w:line="320" w:lineRule="exact"/>
        <w:rPr>
          <w:rFonts w:cs="Tahoma"/>
          <w:b/>
          <w:bCs/>
          <w:color w:val="FFFFFF" w:themeColor="background1"/>
          <w:sz w:val="28"/>
          <w:szCs w:val="28"/>
        </w:rPr>
      </w:pPr>
      <w:r w:rsidRPr="00EA5A0A">
        <w:rPr>
          <w:rFonts w:cs="Tahoma"/>
          <w:b/>
          <w:bCs/>
          <w:color w:val="FFFFFF" w:themeColor="background1"/>
          <w:sz w:val="28"/>
          <w:szCs w:val="28"/>
        </w:rPr>
        <w:lastRenderedPageBreak/>
        <w:t xml:space="preserve">ACCREDITED </w:t>
      </w:r>
      <w:r w:rsidR="00562255" w:rsidRPr="00EA5A0A">
        <w:rPr>
          <w:rFonts w:cs="Tahoma"/>
          <w:b/>
          <w:bCs/>
          <w:color w:val="FFFFFF" w:themeColor="background1"/>
          <w:sz w:val="28"/>
          <w:szCs w:val="28"/>
        </w:rPr>
        <w:t xml:space="preserve">PRIOR </w:t>
      </w:r>
      <w:r w:rsidRPr="00EA5A0A">
        <w:rPr>
          <w:rFonts w:cs="Tahoma"/>
          <w:b/>
          <w:bCs/>
          <w:color w:val="FFFFFF" w:themeColor="background1"/>
          <w:sz w:val="28"/>
          <w:szCs w:val="28"/>
        </w:rPr>
        <w:t>LEARNING AND ACCREDITED EXPERIENTIAL LEARNING</w:t>
      </w:r>
    </w:p>
    <w:p w14:paraId="169C2622" w14:textId="77777777" w:rsidR="00F951C5" w:rsidRDefault="00F951C5" w:rsidP="00AB435C">
      <w:pPr>
        <w:spacing w:line="320" w:lineRule="exact"/>
        <w:rPr>
          <w:rFonts w:cs="Tahoma"/>
          <w:b/>
          <w:bCs/>
          <w:szCs w:val="22"/>
        </w:rPr>
      </w:pPr>
    </w:p>
    <w:p w14:paraId="7F6FAE0E" w14:textId="77777777" w:rsidR="00AB435C" w:rsidRPr="00647E4A" w:rsidRDefault="00AB435C" w:rsidP="00AB435C">
      <w:pPr>
        <w:spacing w:line="320" w:lineRule="exact"/>
        <w:rPr>
          <w:rFonts w:cs="Tahoma"/>
          <w:b/>
          <w:bCs/>
          <w:szCs w:val="22"/>
        </w:rPr>
      </w:pPr>
      <w:r w:rsidRPr="00647E4A">
        <w:rPr>
          <w:rFonts w:cs="Tahoma"/>
          <w:b/>
          <w:bCs/>
          <w:szCs w:val="22"/>
        </w:rPr>
        <w:t>Accreditation of prior learning</w:t>
      </w:r>
      <w:r w:rsidR="00F951C5">
        <w:rPr>
          <w:rFonts w:cs="Tahoma"/>
          <w:b/>
          <w:bCs/>
          <w:szCs w:val="22"/>
        </w:rPr>
        <w:t xml:space="preserve"> or accredited experiential learning</w:t>
      </w:r>
    </w:p>
    <w:p w14:paraId="7A7548C4" w14:textId="77777777" w:rsidR="00F951C5" w:rsidRDefault="00F951C5" w:rsidP="00AB435C">
      <w:pPr>
        <w:spacing w:line="320" w:lineRule="exact"/>
        <w:rPr>
          <w:rFonts w:cs="Tahoma"/>
          <w:szCs w:val="22"/>
        </w:rPr>
      </w:pPr>
      <w:r>
        <w:rPr>
          <w:rFonts w:cs="Tahoma"/>
          <w:szCs w:val="22"/>
        </w:rPr>
        <w:t xml:space="preserve">Where an examining board </w:t>
      </w:r>
      <w:r w:rsidR="00C72CEB">
        <w:rPr>
          <w:rFonts w:cs="Tahoma"/>
          <w:szCs w:val="22"/>
        </w:rPr>
        <w:t>records the award</w:t>
      </w:r>
      <w:r>
        <w:rPr>
          <w:rFonts w:cs="Tahoma"/>
          <w:szCs w:val="22"/>
        </w:rPr>
        <w:t xml:space="preserve"> of AL or AEL, and the credit will be identified as such on the student</w:t>
      </w:r>
      <w:r w:rsidR="00860F8B">
        <w:rPr>
          <w:rFonts w:cs="Tahoma"/>
          <w:szCs w:val="22"/>
        </w:rPr>
        <w:t>’</w:t>
      </w:r>
      <w:r>
        <w:rPr>
          <w:rFonts w:cs="Tahoma"/>
          <w:szCs w:val="22"/>
        </w:rPr>
        <w:t xml:space="preserve">s certificate of credit, </w:t>
      </w:r>
      <w:r w:rsidR="00C72CEB">
        <w:rPr>
          <w:rFonts w:cs="Tahoma"/>
          <w:szCs w:val="22"/>
        </w:rPr>
        <w:t>it</w:t>
      </w:r>
      <w:r>
        <w:rPr>
          <w:rFonts w:cs="Tahoma"/>
          <w:szCs w:val="22"/>
        </w:rPr>
        <w:t xml:space="preserve"> </w:t>
      </w:r>
      <w:r w:rsidR="003637CB">
        <w:rPr>
          <w:rFonts w:cs="Tahoma"/>
          <w:szCs w:val="22"/>
        </w:rPr>
        <w:t>will</w:t>
      </w:r>
      <w:r>
        <w:rPr>
          <w:rFonts w:cs="Tahoma"/>
          <w:szCs w:val="22"/>
        </w:rPr>
        <w:t xml:space="preserve"> </w:t>
      </w:r>
      <w:r w:rsidR="003637CB">
        <w:rPr>
          <w:rFonts w:cs="Tahoma"/>
          <w:szCs w:val="22"/>
        </w:rPr>
        <w:t>need</w:t>
      </w:r>
      <w:r>
        <w:rPr>
          <w:rFonts w:cs="Tahoma"/>
          <w:szCs w:val="22"/>
        </w:rPr>
        <w:t xml:space="preserve"> to ensure the two-thirds rule has been adhered to. </w:t>
      </w:r>
    </w:p>
    <w:p w14:paraId="007586CF" w14:textId="77777777" w:rsidR="00F951C5" w:rsidRDefault="00F951C5" w:rsidP="00AB435C">
      <w:pPr>
        <w:spacing w:line="320" w:lineRule="exact"/>
        <w:rPr>
          <w:rFonts w:cs="Tahoma"/>
          <w:szCs w:val="22"/>
        </w:rPr>
      </w:pPr>
    </w:p>
    <w:p w14:paraId="37C17390" w14:textId="77777777" w:rsidR="00AB435C" w:rsidRPr="00647E4A" w:rsidRDefault="00AB435C" w:rsidP="00AB435C">
      <w:pPr>
        <w:spacing w:line="320" w:lineRule="exact"/>
        <w:rPr>
          <w:rFonts w:cs="Tahoma"/>
          <w:b/>
          <w:szCs w:val="22"/>
        </w:rPr>
      </w:pPr>
      <w:r w:rsidRPr="00647E4A">
        <w:rPr>
          <w:rFonts w:cs="Tahoma"/>
          <w:b/>
          <w:szCs w:val="22"/>
        </w:rPr>
        <w:t>Re-using credit towards a higher level qualification</w:t>
      </w:r>
    </w:p>
    <w:p w14:paraId="137B3648" w14:textId="77777777" w:rsidR="00AB435C" w:rsidRDefault="00AB435C" w:rsidP="00AB435C">
      <w:pPr>
        <w:spacing w:line="320" w:lineRule="exact"/>
        <w:rPr>
          <w:rFonts w:cs="Tahoma"/>
          <w:szCs w:val="22"/>
        </w:rPr>
      </w:pPr>
      <w:r w:rsidRPr="00647E4A">
        <w:rPr>
          <w:rFonts w:cs="Tahoma"/>
          <w:szCs w:val="22"/>
        </w:rPr>
        <w:t>Where AL or AEL or a combination of the two contribute to the credit requirements of an award of the University, this must not exceed two-thirds of the total credit requirements for the award. This limit does not apply to AL credit which has been achieved under the University’s own academic regulations where the student is proc</w:t>
      </w:r>
      <w:r w:rsidR="009D732D">
        <w:rPr>
          <w:rFonts w:cs="Tahoma"/>
          <w:szCs w:val="22"/>
        </w:rPr>
        <w:t>eeding towards a higher award (</w:t>
      </w:r>
      <w:r w:rsidR="00D92D1D">
        <w:rPr>
          <w:rFonts w:cs="Tahoma"/>
          <w:szCs w:val="22"/>
        </w:rPr>
        <w:t xml:space="preserve">as per </w:t>
      </w:r>
      <w:r w:rsidR="001C04EB">
        <w:rPr>
          <w:rFonts w:cs="Tahoma"/>
          <w:b/>
          <w:szCs w:val="22"/>
        </w:rPr>
        <w:t>E7.</w:t>
      </w:r>
      <w:r w:rsidR="009D732D">
        <w:rPr>
          <w:rFonts w:cs="Tahoma"/>
          <w:szCs w:val="22"/>
        </w:rPr>
        <w:t>)</w:t>
      </w:r>
    </w:p>
    <w:p w14:paraId="78DE145C" w14:textId="77777777" w:rsidR="004C323F" w:rsidRDefault="004C323F" w:rsidP="00AB435C">
      <w:pPr>
        <w:spacing w:line="320" w:lineRule="exact"/>
        <w:rPr>
          <w:rFonts w:cs="Tahoma"/>
          <w:szCs w:val="22"/>
        </w:rPr>
      </w:pPr>
    </w:p>
    <w:p w14:paraId="7AC01411" w14:textId="77777777" w:rsidR="004C323F" w:rsidRPr="004C323F" w:rsidRDefault="004C323F" w:rsidP="00417C0C">
      <w:pPr>
        <w:spacing w:line="320" w:lineRule="exact"/>
        <w:rPr>
          <w:rFonts w:cs="Tahoma"/>
          <w:szCs w:val="22"/>
        </w:rPr>
      </w:pPr>
      <w:r w:rsidRPr="004C323F">
        <w:rPr>
          <w:rFonts w:cs="Tahoma"/>
          <w:szCs w:val="22"/>
          <w:lang w:eastAsia="en-GB"/>
        </w:rPr>
        <w:t>Where a student fails to meet the requirements of their award they may be eligible to receive a lower level award. In such cases, the two-thirds maximum will become directly proportional to the overall number of credits required</w:t>
      </w:r>
      <w:r w:rsidRPr="004C323F">
        <w:rPr>
          <w:rFonts w:cs="Tahoma"/>
          <w:b/>
          <w:szCs w:val="22"/>
          <w:lang w:eastAsia="en-GB"/>
        </w:rPr>
        <w:t>.</w:t>
      </w:r>
    </w:p>
    <w:p w14:paraId="35CEB9C0" w14:textId="77777777" w:rsidR="004C323F" w:rsidRDefault="004C323F" w:rsidP="00417C0C">
      <w:pPr>
        <w:spacing w:line="320" w:lineRule="exact"/>
        <w:rPr>
          <w:rFonts w:cs="Tahoma"/>
          <w:szCs w:val="22"/>
        </w:rPr>
      </w:pPr>
    </w:p>
    <w:p w14:paraId="56B8D20A" w14:textId="77777777" w:rsidR="00D92D1D" w:rsidRDefault="00D92D1D" w:rsidP="00417C0C">
      <w:pPr>
        <w:spacing w:line="320" w:lineRule="exact"/>
        <w:rPr>
          <w:rFonts w:cs="Tahoma"/>
          <w:szCs w:val="22"/>
        </w:rPr>
      </w:pPr>
      <w:r>
        <w:rPr>
          <w:rFonts w:cs="Tahoma"/>
          <w:szCs w:val="22"/>
        </w:rPr>
        <w:t>For example:</w:t>
      </w:r>
    </w:p>
    <w:p w14:paraId="0B5EBAEE" w14:textId="77777777" w:rsidR="00D92D1D" w:rsidRDefault="00D92D1D" w:rsidP="00417C0C">
      <w:pPr>
        <w:spacing w:line="320" w:lineRule="exact"/>
        <w:rPr>
          <w:rFonts w:cs="Tahoma"/>
          <w:szCs w:val="22"/>
        </w:rPr>
      </w:pPr>
    </w:p>
    <w:p w14:paraId="4C35E226" w14:textId="77777777" w:rsidR="00D92D1D" w:rsidRPr="00D92D1D" w:rsidRDefault="00D92D1D" w:rsidP="00417C0C">
      <w:pPr>
        <w:spacing w:line="320" w:lineRule="exact"/>
        <w:rPr>
          <w:rFonts w:cs="Tahoma"/>
          <w:b/>
          <w:szCs w:val="22"/>
        </w:rPr>
      </w:pPr>
      <w:r>
        <w:rPr>
          <w:rFonts w:cs="Tahoma"/>
          <w:b/>
          <w:szCs w:val="22"/>
        </w:rPr>
        <w:t xml:space="preserve">Non </w:t>
      </w:r>
      <w:r w:rsidRPr="00D92D1D">
        <w:rPr>
          <w:rFonts w:cs="Tahoma"/>
          <w:b/>
          <w:szCs w:val="22"/>
        </w:rPr>
        <w:t xml:space="preserve">honours degree </w:t>
      </w:r>
      <w:r w:rsidR="003951A7">
        <w:rPr>
          <w:rFonts w:cs="Tahoma"/>
          <w:b/>
          <w:szCs w:val="22"/>
        </w:rPr>
        <w:t>(</w:t>
      </w:r>
      <w:r w:rsidRPr="00D92D1D">
        <w:rPr>
          <w:rFonts w:cs="Tahoma"/>
          <w:b/>
          <w:szCs w:val="22"/>
        </w:rPr>
        <w:t>300 credits</w:t>
      </w:r>
      <w:r w:rsidR="003951A7">
        <w:rPr>
          <w:rFonts w:cs="Tahoma"/>
          <w:b/>
          <w:szCs w:val="22"/>
        </w:rPr>
        <w:t xml:space="preserve"> required)</w:t>
      </w:r>
    </w:p>
    <w:p w14:paraId="4A31B3A8" w14:textId="77777777" w:rsidR="00D92D1D" w:rsidRDefault="00D92D1D" w:rsidP="00417C0C">
      <w:pPr>
        <w:spacing w:line="320" w:lineRule="exact"/>
        <w:rPr>
          <w:rFonts w:cs="Tahoma"/>
          <w:szCs w:val="22"/>
        </w:rPr>
      </w:pPr>
      <w:r>
        <w:rPr>
          <w:rFonts w:cs="Tahoma"/>
          <w:szCs w:val="22"/>
        </w:rPr>
        <w:t xml:space="preserve">Student has </w:t>
      </w:r>
      <w:r w:rsidR="008B4850">
        <w:rPr>
          <w:rFonts w:cs="Tahoma"/>
          <w:szCs w:val="22"/>
        </w:rPr>
        <w:t xml:space="preserve">240 AL credits </w:t>
      </w:r>
      <w:r>
        <w:rPr>
          <w:rFonts w:cs="Tahoma"/>
          <w:szCs w:val="22"/>
        </w:rPr>
        <w:t>so they</w:t>
      </w:r>
      <w:r w:rsidR="008B4850" w:rsidRPr="008B4850">
        <w:rPr>
          <w:rFonts w:cs="Tahoma"/>
          <w:szCs w:val="22"/>
        </w:rPr>
        <w:t xml:space="preserve"> will need to </w:t>
      </w:r>
      <w:r w:rsidR="008B4850">
        <w:rPr>
          <w:rFonts w:cs="Tahoma"/>
          <w:szCs w:val="22"/>
        </w:rPr>
        <w:t>pass</w:t>
      </w:r>
      <w:r w:rsidR="008B4850" w:rsidRPr="008B4850">
        <w:rPr>
          <w:rFonts w:cs="Tahoma"/>
          <w:szCs w:val="22"/>
        </w:rPr>
        <w:t xml:space="preserve"> 100 </w:t>
      </w:r>
      <w:r w:rsidR="008B4850">
        <w:rPr>
          <w:rFonts w:cs="Tahoma"/>
          <w:szCs w:val="22"/>
        </w:rPr>
        <w:t xml:space="preserve">taught </w:t>
      </w:r>
      <w:r w:rsidR="008B4850" w:rsidRPr="008B4850">
        <w:rPr>
          <w:rFonts w:cs="Tahoma"/>
          <w:szCs w:val="22"/>
        </w:rPr>
        <w:t>credits</w:t>
      </w:r>
      <w:r w:rsidR="008B4850">
        <w:rPr>
          <w:rFonts w:cs="Tahoma"/>
          <w:szCs w:val="22"/>
        </w:rPr>
        <w:t xml:space="preserve">. </w:t>
      </w:r>
    </w:p>
    <w:p w14:paraId="6FC6046D" w14:textId="77777777" w:rsidR="002343A4" w:rsidRDefault="00D92D1D" w:rsidP="00417C0C">
      <w:pPr>
        <w:spacing w:line="320" w:lineRule="exact"/>
        <w:rPr>
          <w:rFonts w:cs="Tahoma"/>
          <w:szCs w:val="22"/>
        </w:rPr>
      </w:pPr>
      <w:r>
        <w:rPr>
          <w:rFonts w:cs="Tahoma"/>
          <w:szCs w:val="22"/>
        </w:rPr>
        <w:t xml:space="preserve">Ratio: </w:t>
      </w:r>
      <w:r w:rsidR="008B4850">
        <w:rPr>
          <w:rFonts w:cs="Tahoma"/>
          <w:szCs w:val="22"/>
        </w:rPr>
        <w:t>200 AL credits: 100 taught credits</w:t>
      </w:r>
      <w:r w:rsidR="003637CB" w:rsidRPr="008B4850">
        <w:rPr>
          <w:rFonts w:cs="Tahoma"/>
          <w:szCs w:val="22"/>
        </w:rPr>
        <w:t xml:space="preserve">. </w:t>
      </w:r>
    </w:p>
    <w:p w14:paraId="1AA4C5FB" w14:textId="77777777" w:rsidR="002343A4" w:rsidRDefault="002343A4" w:rsidP="00417C0C">
      <w:pPr>
        <w:spacing w:line="320" w:lineRule="exact"/>
        <w:rPr>
          <w:rFonts w:cs="Tahoma"/>
          <w:szCs w:val="22"/>
          <w:highlight w:val="yellow"/>
        </w:rPr>
      </w:pPr>
    </w:p>
    <w:p w14:paraId="3E4BF5BE" w14:textId="77777777" w:rsidR="00D92D1D" w:rsidRPr="003951A7" w:rsidRDefault="00D92D1D" w:rsidP="00417C0C">
      <w:pPr>
        <w:spacing w:line="320" w:lineRule="exact"/>
        <w:rPr>
          <w:rFonts w:cs="Tahoma"/>
          <w:b/>
          <w:szCs w:val="22"/>
        </w:rPr>
      </w:pPr>
      <w:r w:rsidRPr="003951A7">
        <w:rPr>
          <w:rFonts w:cs="Tahoma"/>
          <w:b/>
          <w:szCs w:val="22"/>
        </w:rPr>
        <w:t xml:space="preserve">Diploma of higher education </w:t>
      </w:r>
      <w:r w:rsidR="003951A7">
        <w:rPr>
          <w:rFonts w:cs="Tahoma"/>
          <w:b/>
          <w:szCs w:val="22"/>
        </w:rPr>
        <w:t>(</w:t>
      </w:r>
      <w:r w:rsidRPr="003951A7">
        <w:rPr>
          <w:rFonts w:cs="Tahoma"/>
          <w:b/>
          <w:szCs w:val="22"/>
        </w:rPr>
        <w:t>240 credits</w:t>
      </w:r>
      <w:r w:rsidR="003951A7">
        <w:rPr>
          <w:rFonts w:cs="Tahoma"/>
          <w:b/>
          <w:szCs w:val="22"/>
        </w:rPr>
        <w:t xml:space="preserve"> required)</w:t>
      </w:r>
      <w:r w:rsidR="003951A7">
        <w:rPr>
          <w:rStyle w:val="FootnoteReference"/>
          <w:b/>
          <w:szCs w:val="22"/>
        </w:rPr>
        <w:footnoteReference w:id="4"/>
      </w:r>
    </w:p>
    <w:p w14:paraId="031F3F69" w14:textId="77777777" w:rsidR="00D92D1D" w:rsidRDefault="00D92D1D" w:rsidP="00417C0C">
      <w:pPr>
        <w:spacing w:line="320" w:lineRule="exact"/>
        <w:rPr>
          <w:rFonts w:cs="Tahoma"/>
          <w:szCs w:val="22"/>
        </w:rPr>
      </w:pPr>
      <w:r w:rsidRPr="003951A7">
        <w:rPr>
          <w:rFonts w:cs="Tahoma"/>
          <w:szCs w:val="22"/>
        </w:rPr>
        <w:t xml:space="preserve">Student has </w:t>
      </w:r>
      <w:r w:rsidR="003951A7" w:rsidRPr="003951A7">
        <w:rPr>
          <w:rFonts w:cs="Tahoma"/>
          <w:szCs w:val="22"/>
        </w:rPr>
        <w:t xml:space="preserve">240 </w:t>
      </w:r>
      <w:r w:rsidRPr="003951A7">
        <w:rPr>
          <w:rFonts w:cs="Tahoma"/>
          <w:szCs w:val="22"/>
        </w:rPr>
        <w:t xml:space="preserve">AL credits </w:t>
      </w:r>
      <w:r w:rsidR="003951A7" w:rsidRPr="003951A7">
        <w:rPr>
          <w:rFonts w:cs="Tahoma"/>
          <w:szCs w:val="22"/>
        </w:rPr>
        <w:t>so they will need to pass 80 taught credits.</w:t>
      </w:r>
    </w:p>
    <w:p w14:paraId="60D05A43" w14:textId="77777777" w:rsidR="00D92D1D" w:rsidRPr="00D92D1D" w:rsidRDefault="003951A7" w:rsidP="00417C0C">
      <w:pPr>
        <w:spacing w:line="320" w:lineRule="exact"/>
        <w:rPr>
          <w:rFonts w:cs="Tahoma"/>
          <w:b/>
          <w:szCs w:val="22"/>
          <w:highlight w:val="yellow"/>
        </w:rPr>
      </w:pPr>
      <w:r>
        <w:rPr>
          <w:rFonts w:cs="Tahoma"/>
          <w:szCs w:val="22"/>
        </w:rPr>
        <w:t>Ratio: 160 AL credits: 80 taught credits.</w:t>
      </w:r>
    </w:p>
    <w:p w14:paraId="3423A23F" w14:textId="77777777" w:rsidR="004C323F" w:rsidRDefault="004C323F" w:rsidP="002343A4">
      <w:pPr>
        <w:spacing w:line="320" w:lineRule="exact"/>
        <w:rPr>
          <w:rFonts w:cs="Tahoma"/>
          <w:szCs w:val="22"/>
          <w:highlight w:val="yellow"/>
        </w:rPr>
      </w:pPr>
    </w:p>
    <w:p w14:paraId="5BB27DAF" w14:textId="77777777" w:rsidR="00AB435C" w:rsidRPr="00647E4A" w:rsidRDefault="00AB435C" w:rsidP="002343A4">
      <w:pPr>
        <w:spacing w:line="320" w:lineRule="exact"/>
        <w:rPr>
          <w:rFonts w:cs="Tahoma"/>
          <w:szCs w:val="22"/>
        </w:rPr>
      </w:pPr>
      <w:r w:rsidRPr="00647E4A">
        <w:rPr>
          <w:rFonts w:cs="Tahoma"/>
          <w:szCs w:val="22"/>
        </w:rPr>
        <w:t>Credit awarded for AL will not:</w:t>
      </w:r>
    </w:p>
    <w:p w14:paraId="698C8793" w14:textId="77777777" w:rsidR="00AB435C" w:rsidRPr="00647E4A" w:rsidRDefault="00AB435C" w:rsidP="002343A4">
      <w:pPr>
        <w:spacing w:line="320" w:lineRule="exact"/>
        <w:rPr>
          <w:rFonts w:cs="Tahoma"/>
          <w:szCs w:val="22"/>
        </w:rPr>
      </w:pPr>
    </w:p>
    <w:p w14:paraId="4F3A0CE9" w14:textId="77777777" w:rsidR="00AB435C" w:rsidRPr="00647E4A" w:rsidRDefault="00AB435C" w:rsidP="00792A60">
      <w:pPr>
        <w:pStyle w:val="Bulletpointstyle"/>
      </w:pPr>
      <w:r w:rsidRPr="00647E4A">
        <w:t>carry marks or grades awarded by another institution;</w:t>
      </w:r>
    </w:p>
    <w:p w14:paraId="010E1FD0" w14:textId="77777777" w:rsidR="00AB435C" w:rsidRPr="00647E4A" w:rsidRDefault="00AB435C" w:rsidP="00792A60">
      <w:pPr>
        <w:pStyle w:val="Bulletpointstyle"/>
      </w:pPr>
      <w:r w:rsidRPr="00647E4A">
        <w:t>carry marks achieved under the University’s own academic regulations;</w:t>
      </w:r>
    </w:p>
    <w:p w14:paraId="15E727E3" w14:textId="77777777" w:rsidR="00253D5C" w:rsidRDefault="00AB435C" w:rsidP="00792A60">
      <w:pPr>
        <w:pStyle w:val="Bulletpointstyle"/>
      </w:pPr>
      <w:r w:rsidRPr="00647E4A">
        <w:t>be used t</w:t>
      </w:r>
      <w:r w:rsidR="00253D5C">
        <w:t>o gain an award in its entirety;</w:t>
      </w:r>
    </w:p>
    <w:p w14:paraId="5FF1E137" w14:textId="77777777" w:rsidR="00253D5C" w:rsidRDefault="00860F8B" w:rsidP="00792A60">
      <w:pPr>
        <w:pStyle w:val="Bulletpointstyle"/>
      </w:pPr>
      <w:r w:rsidRPr="00253D5C">
        <w:t xml:space="preserve">be shown on the student’s </w:t>
      </w:r>
      <w:r w:rsidR="00AB435C" w:rsidRPr="00253D5C">
        <w:t xml:space="preserve">Notification </w:t>
      </w:r>
      <w:r w:rsidR="00253D5C">
        <w:t>of Credit and Assessment Marks;</w:t>
      </w:r>
    </w:p>
    <w:p w14:paraId="5D59F7B2" w14:textId="77777777" w:rsidR="00AB435C" w:rsidRDefault="00AB435C" w:rsidP="00792A60">
      <w:pPr>
        <w:pStyle w:val="Bulletpointstyle"/>
      </w:pPr>
      <w:r w:rsidRPr="00253D5C">
        <w:t>be used in the calculation for honours or ot</w:t>
      </w:r>
      <w:r w:rsidR="00253D5C">
        <w:t>her differential level of award.</w:t>
      </w:r>
    </w:p>
    <w:p w14:paraId="5F8061CC" w14:textId="77777777" w:rsidR="003951A7" w:rsidRDefault="003951A7" w:rsidP="00792A60">
      <w:pPr>
        <w:pStyle w:val="Bulletpointstyle"/>
        <w:numPr>
          <w:ilvl w:val="0"/>
          <w:numId w:val="0"/>
        </w:numPr>
        <w:ind w:left="227"/>
      </w:pPr>
    </w:p>
    <w:p w14:paraId="5B34ABCB" w14:textId="1C0571DE" w:rsidR="00792A60" w:rsidRDefault="00792A60" w:rsidP="00792A60">
      <w:pPr>
        <w:pStyle w:val="Bulletpointstyle"/>
        <w:numPr>
          <w:ilvl w:val="0"/>
          <w:numId w:val="0"/>
        </w:numPr>
        <w:ind w:left="227"/>
      </w:pPr>
    </w:p>
    <w:p w14:paraId="17EE18C2" w14:textId="24388C6A" w:rsidR="00880D53" w:rsidRDefault="00880D53" w:rsidP="00792A60">
      <w:pPr>
        <w:pStyle w:val="Bulletpointstyle"/>
        <w:numPr>
          <w:ilvl w:val="0"/>
          <w:numId w:val="0"/>
        </w:numPr>
        <w:ind w:left="227"/>
      </w:pPr>
    </w:p>
    <w:p w14:paraId="286F925B" w14:textId="5B4E6A59" w:rsidR="00880D53" w:rsidRDefault="00880D53" w:rsidP="00792A60">
      <w:pPr>
        <w:pStyle w:val="Bulletpointstyle"/>
        <w:numPr>
          <w:ilvl w:val="0"/>
          <w:numId w:val="0"/>
        </w:numPr>
        <w:ind w:left="227"/>
      </w:pPr>
    </w:p>
    <w:p w14:paraId="7DA95282" w14:textId="77777777" w:rsidR="003951A7" w:rsidRPr="00BF251B" w:rsidRDefault="003951A7" w:rsidP="003951A7">
      <w:pPr>
        <w:shd w:val="clear" w:color="auto" w:fill="1F3864" w:themeFill="accent5" w:themeFillShade="80"/>
        <w:rPr>
          <w:b/>
          <w:noProof/>
          <w:color w:val="FFFFFF" w:themeColor="background1"/>
          <w:sz w:val="28"/>
          <w:szCs w:val="28"/>
          <w:lang w:eastAsia="en-GB"/>
        </w:rPr>
      </w:pPr>
      <w:r w:rsidRPr="00BF251B">
        <w:rPr>
          <w:b/>
          <w:noProof/>
          <w:color w:val="FFFFFF" w:themeColor="background1"/>
          <w:sz w:val="28"/>
          <w:szCs w:val="28"/>
          <w:lang w:eastAsia="en-GB"/>
        </w:rPr>
        <w:lastRenderedPageBreak/>
        <w:t>AWARD BOARD REPORTS</w:t>
      </w:r>
    </w:p>
    <w:p w14:paraId="63CF480D" w14:textId="77777777" w:rsidR="003951A7" w:rsidRPr="007B2BEB" w:rsidRDefault="003951A7" w:rsidP="003951A7">
      <w:pPr>
        <w:pStyle w:val="Subtitle"/>
        <w:rPr>
          <w:noProof/>
          <w:lang w:eastAsia="en-GB"/>
        </w:rPr>
      </w:pPr>
      <w:bookmarkStart w:id="25" w:name="_Toc440026552"/>
      <w:r w:rsidRPr="007B2BEB">
        <w:rPr>
          <w:noProof/>
          <w:lang w:eastAsia="en-GB"/>
        </w:rPr>
        <w:t>Award Board report example</w:t>
      </w:r>
      <w:bookmarkEnd w:id="25"/>
    </w:p>
    <w:p w14:paraId="220BFA42" w14:textId="77777777" w:rsidR="003951A7" w:rsidRDefault="003951A7" w:rsidP="003951A7">
      <w:pPr>
        <w:rPr>
          <w:noProof/>
          <w:lang w:eastAsia="en-GB"/>
        </w:rPr>
      </w:pPr>
    </w:p>
    <w:p w14:paraId="408C8028" w14:textId="77777777" w:rsidR="003951A7" w:rsidRPr="003F0A4D" w:rsidRDefault="003951A7" w:rsidP="003951A7">
      <w:pPr>
        <w:sectPr w:rsidR="003951A7" w:rsidRPr="003F0A4D" w:rsidSect="00C311C4">
          <w:headerReference w:type="even" r:id="rId21"/>
          <w:headerReference w:type="default" r:id="rId22"/>
          <w:footerReference w:type="default" r:id="rId23"/>
          <w:headerReference w:type="first" r:id="rId24"/>
          <w:pgSz w:w="11906" w:h="16838"/>
          <w:pgMar w:top="1440" w:right="1800" w:bottom="1440" w:left="1800" w:header="708" w:footer="708" w:gutter="0"/>
          <w:cols w:space="708"/>
          <w:docGrid w:linePitch="360"/>
        </w:sectPr>
      </w:pPr>
      <w:r>
        <w:rPr>
          <w:b/>
          <w:noProof/>
          <w:color w:val="FFFFFF" w:themeColor="background1"/>
          <w:sz w:val="28"/>
          <w:szCs w:val="28"/>
          <w:lang w:eastAsia="en-GB"/>
        </w:rPr>
        <mc:AlternateContent>
          <mc:Choice Requires="wps">
            <w:drawing>
              <wp:anchor distT="0" distB="0" distL="114300" distR="114300" simplePos="0" relativeHeight="251668480" behindDoc="0" locked="0" layoutInCell="1" allowOverlap="1" wp14:anchorId="660D5804" wp14:editId="28F685BE">
                <wp:simplePos x="0" y="0"/>
                <wp:positionH relativeFrom="column">
                  <wp:posOffset>50800</wp:posOffset>
                </wp:positionH>
                <wp:positionV relativeFrom="paragraph">
                  <wp:posOffset>3543300</wp:posOffset>
                </wp:positionV>
                <wp:extent cx="2437765" cy="1145540"/>
                <wp:effectExtent l="0" t="0" r="2603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1145540"/>
                        </a:xfrm>
                        <a:prstGeom prst="rect">
                          <a:avLst/>
                        </a:prstGeom>
                        <a:solidFill>
                          <a:srgbClr val="FFFFFF"/>
                        </a:solidFill>
                        <a:ln w="9525">
                          <a:solidFill>
                            <a:srgbClr val="000000"/>
                          </a:solidFill>
                          <a:miter lim="800000"/>
                          <a:headEnd/>
                          <a:tailEnd/>
                        </a:ln>
                      </wps:spPr>
                      <wps:txbx>
                        <w:txbxContent>
                          <w:p w14:paraId="2F70F281" w14:textId="77777777" w:rsidR="005E553F" w:rsidRPr="0071192E" w:rsidRDefault="005E553F" w:rsidP="003951A7">
                            <w:r w:rsidRPr="0071192E">
                              <w:t xml:space="preserve">The shaded modules have already had board outcomes in the past so it is only the unshaded module marks that are looked at unless it is a completing profile. </w:t>
                            </w:r>
                          </w:p>
                          <w:p w14:paraId="1B141C87" w14:textId="77777777" w:rsidR="005E553F" w:rsidRDefault="005E553F" w:rsidP="003951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804" id="Text Box 2" o:spid="_x0000_s1029" type="#_x0000_t202" style="position:absolute;margin-left:4pt;margin-top:279pt;width:191.95pt;height: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">
                <v:textbox>
                  <w:txbxContent>
                    <w:p w14:paraId="2F70F281" w14:textId="77777777" w:rsidR="005E553F" w:rsidRPr="0071192E" w:rsidRDefault="005E553F" w:rsidP="003951A7">
                      <w:r w:rsidRPr="0071192E">
                        <w:t xml:space="preserve">The shaded modules have already had board outcomes in the past so it is only the unshaded module marks that are looked at unless it is a completing profile. </w:t>
                      </w:r>
                    </w:p>
                    <w:p w14:paraId="1B141C87" w14:textId="77777777" w:rsidR="005E553F" w:rsidRDefault="005E553F" w:rsidP="003951A7"/>
                  </w:txbxContent>
                </v:textbox>
              </v:shape>
            </w:pict>
          </mc:Fallback>
        </mc:AlternateContent>
      </w:r>
      <w:r>
        <w:rPr>
          <w:b/>
          <w:noProof/>
          <w:color w:val="FFFFFF" w:themeColor="background1"/>
          <w:sz w:val="28"/>
          <w:szCs w:val="28"/>
          <w:lang w:eastAsia="en-GB"/>
        </w:rPr>
        <mc:AlternateContent>
          <mc:Choice Requires="wps">
            <w:drawing>
              <wp:anchor distT="0" distB="0" distL="114300" distR="114300" simplePos="0" relativeHeight="251669504" behindDoc="0" locked="0" layoutInCell="1" allowOverlap="1" wp14:anchorId="1475A045" wp14:editId="7F922D29">
                <wp:simplePos x="0" y="0"/>
                <wp:positionH relativeFrom="column">
                  <wp:posOffset>2565400</wp:posOffset>
                </wp:positionH>
                <wp:positionV relativeFrom="paragraph">
                  <wp:posOffset>3543300</wp:posOffset>
                </wp:positionV>
                <wp:extent cx="2629535" cy="1145540"/>
                <wp:effectExtent l="0" t="0" r="37465" b="22860"/>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145540"/>
                        </a:xfrm>
                        <a:prstGeom prst="rect">
                          <a:avLst/>
                        </a:prstGeom>
                        <a:solidFill>
                          <a:srgbClr val="FFFFFF"/>
                        </a:solidFill>
                        <a:ln w="9525">
                          <a:solidFill>
                            <a:srgbClr val="000000"/>
                          </a:solidFill>
                          <a:miter lim="800000"/>
                          <a:headEnd/>
                          <a:tailEnd/>
                        </a:ln>
                      </wps:spPr>
                      <wps:txbx>
                        <w:txbxContent>
                          <w:p w14:paraId="592BEEA0" w14:textId="77777777" w:rsidR="005E553F" w:rsidRPr="0071192E" w:rsidRDefault="005E553F" w:rsidP="003951A7">
                            <w:r w:rsidRPr="0071192E">
                              <w:t>The board consider marks and outcomes at an individu</w:t>
                            </w:r>
                            <w:r>
                              <w:t>al student level</w:t>
                            </w:r>
                            <w:r w:rsidRPr="0071192E">
                              <w:t xml:space="preserve">.  </w:t>
                            </w:r>
                          </w:p>
                          <w:p w14:paraId="056E5176" w14:textId="77777777" w:rsidR="005E553F" w:rsidRPr="0071192E" w:rsidRDefault="005E553F" w:rsidP="003951A7">
                            <w:r w:rsidRPr="0071192E">
                              <w:t>Credit totals and overall marks are shown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5A045" id="Text Box 86" o:spid="_x0000_s1030" type="#_x0000_t202" style="position:absolute;margin-left:202pt;margin-top:279pt;width:207.05pt;height:9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">
                <v:textbox>
                  <w:txbxContent>
                    <w:p w14:paraId="592BEEA0" w14:textId="77777777" w:rsidR="005E553F" w:rsidRPr="0071192E" w:rsidRDefault="005E553F" w:rsidP="003951A7">
                      <w:r w:rsidRPr="0071192E">
                        <w:t>The board consider marks and outcomes at an individu</w:t>
                      </w:r>
                      <w:r>
                        <w:t>al student level</w:t>
                      </w:r>
                      <w:r w:rsidRPr="0071192E">
                        <w:t xml:space="preserve">.  </w:t>
                      </w:r>
                    </w:p>
                    <w:p w14:paraId="056E5176" w14:textId="77777777" w:rsidR="005E553F" w:rsidRPr="0071192E" w:rsidRDefault="005E553F" w:rsidP="003951A7">
                      <w:r w:rsidRPr="0071192E">
                        <w:t>Credit totals and overall marks are shown here</w:t>
                      </w:r>
                    </w:p>
                  </w:txbxContent>
                </v:textbox>
              </v:shape>
            </w:pict>
          </mc:Fallback>
        </mc:AlternateContent>
      </w:r>
      <w:r w:rsidRPr="0071192E">
        <w:rPr>
          <w:noProof/>
          <w:lang w:eastAsia="en-GB"/>
        </w:rPr>
        <w:drawing>
          <wp:inline distT="0" distB="0" distL="0" distR="0" wp14:anchorId="25DB83A5" wp14:editId="71560D42">
            <wp:extent cx="5210175" cy="6657242"/>
            <wp:effectExtent l="635" t="0" r="0" b="0"/>
            <wp:docPr id="19" name="Picture 19" descr="A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5207667" cy="6654037"/>
                    </a:xfrm>
                    <a:prstGeom prst="rect">
                      <a:avLst/>
                    </a:prstGeom>
                    <a:noFill/>
                    <a:ln>
                      <a:noFill/>
                    </a:ln>
                  </pic:spPr>
                </pic:pic>
              </a:graphicData>
            </a:graphic>
          </wp:inline>
        </w:drawing>
      </w:r>
      <w:r>
        <w:rPr>
          <w:b/>
          <w:noProof/>
          <w:color w:val="FFFFFF" w:themeColor="background1"/>
          <w:sz w:val="28"/>
          <w:szCs w:val="28"/>
          <w:lang w:eastAsia="en-GB"/>
        </w:rPr>
        <mc:AlternateContent>
          <mc:Choice Requires="wps">
            <w:drawing>
              <wp:anchor distT="0" distB="0" distL="114300" distR="114300" simplePos="0" relativeHeight="251674624" behindDoc="0" locked="0" layoutInCell="1" allowOverlap="1" wp14:anchorId="0D477F49" wp14:editId="0AEAD2FD">
                <wp:simplePos x="0" y="0"/>
                <wp:positionH relativeFrom="column">
                  <wp:posOffset>1546818</wp:posOffset>
                </wp:positionH>
                <wp:positionV relativeFrom="paragraph">
                  <wp:posOffset>2750883</wp:posOffset>
                </wp:positionV>
                <wp:extent cx="863600" cy="919480"/>
                <wp:effectExtent l="10795" t="53340" r="49530" b="8255"/>
                <wp:wrapNone/>
                <wp:docPr id="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919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F17937" id="_x0000_t32" coordsize="21600,21600" o:spt="32" o:oned="t" path="m,l21600,21600e" filled="f">
                <v:path arrowok="t" fillok="f" o:connecttype="none"/>
                <o:lock v:ext="edit" shapetype="t"/>
              </v:shapetype>
              <v:shape id="AutoShape 112" o:spid="_x0000_s1026" type="#_x0000_t32" style="position:absolute;margin-left:121.8pt;margin-top:216.6pt;width:68pt;height:72.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hFQAIAAG0EAAAOAAAAZHJzL2Uyb0RvYy54bWysVMGO2yAQvVfqPyDuie2sky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">
                <v:stroke endarrow="block"/>
              </v:shape>
            </w:pict>
          </mc:Fallback>
        </mc:AlternateContent>
      </w:r>
      <w:r>
        <w:rPr>
          <w:b/>
          <w:noProof/>
          <w:color w:val="FFFFFF" w:themeColor="background1"/>
          <w:sz w:val="28"/>
          <w:szCs w:val="28"/>
          <w:lang w:eastAsia="en-GB"/>
        </w:rPr>
        <mc:AlternateContent>
          <mc:Choice Requires="wps">
            <w:drawing>
              <wp:anchor distT="0" distB="0" distL="114300" distR="114300" simplePos="0" relativeHeight="251675648" behindDoc="0" locked="0" layoutInCell="1" allowOverlap="1" wp14:anchorId="6DACE19D" wp14:editId="1C583C99">
                <wp:simplePos x="0" y="0"/>
                <wp:positionH relativeFrom="column">
                  <wp:posOffset>4506397</wp:posOffset>
                </wp:positionH>
                <wp:positionV relativeFrom="paragraph">
                  <wp:posOffset>1518441</wp:posOffset>
                </wp:positionV>
                <wp:extent cx="579120" cy="2016760"/>
                <wp:effectExtent l="8255" t="36195" r="60325" b="13970"/>
                <wp:wrapNone/>
                <wp:docPr id="1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 cy="2016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9A366" id="AutoShape 113" o:spid="_x0000_s1026" type="#_x0000_t32" style="position:absolute;margin-left:354.85pt;margin-top:119.55pt;width:45.6pt;height:158.8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">
                <v:stroke endarrow="block"/>
              </v:shape>
            </w:pict>
          </mc:Fallback>
        </mc:AlternateContent>
      </w:r>
    </w:p>
    <w:p w14:paraId="691D51A0" w14:textId="77777777" w:rsidR="003951A7" w:rsidRDefault="003951A7" w:rsidP="003951A7">
      <w:pPr>
        <w:pStyle w:val="Subtitle"/>
      </w:pPr>
      <w:bookmarkStart w:id="26" w:name="_Toc440026553"/>
      <w:r w:rsidRPr="006130DC">
        <w:lastRenderedPageBreak/>
        <w:t>Key to Award Board Reports</w:t>
      </w:r>
      <w:bookmarkEnd w:id="26"/>
    </w:p>
    <w:p w14:paraId="24D151D3" w14:textId="77777777" w:rsidR="003951A7" w:rsidRPr="001C1145" w:rsidRDefault="003951A7" w:rsidP="003951A7"/>
    <w:tbl>
      <w:tblPr>
        <w:tblStyle w:val="TableGrid"/>
        <w:tblW w:w="0" w:type="auto"/>
        <w:tblLook w:val="04A0" w:firstRow="1" w:lastRow="0" w:firstColumn="1" w:lastColumn="0" w:noHBand="0" w:noVBand="1"/>
      </w:tblPr>
      <w:tblGrid>
        <w:gridCol w:w="4137"/>
        <w:gridCol w:w="7"/>
        <w:gridCol w:w="4152"/>
      </w:tblGrid>
      <w:tr w:rsidR="003951A7" w:rsidRPr="00520419" w14:paraId="7242FB34" w14:textId="77777777" w:rsidTr="000034E8">
        <w:tc>
          <w:tcPr>
            <w:tcW w:w="8296" w:type="dxa"/>
            <w:gridSpan w:val="3"/>
            <w:shd w:val="clear" w:color="auto" w:fill="1F3864" w:themeFill="accent5" w:themeFillShade="80"/>
          </w:tcPr>
          <w:p w14:paraId="0D3CD84F" w14:textId="77777777" w:rsidR="003951A7" w:rsidRPr="00520419" w:rsidRDefault="003951A7" w:rsidP="000034E8">
            <w:pPr>
              <w:pStyle w:val="MainText"/>
              <w:rPr>
                <w:b/>
              </w:rPr>
            </w:pPr>
            <w:r w:rsidRPr="00520419">
              <w:rPr>
                <w:b/>
              </w:rPr>
              <w:t>MODULE OUTCOMES</w:t>
            </w:r>
          </w:p>
        </w:tc>
      </w:tr>
      <w:tr w:rsidR="003951A7" w:rsidRPr="0071192E" w14:paraId="1F902B7F" w14:textId="77777777" w:rsidTr="000034E8">
        <w:tc>
          <w:tcPr>
            <w:tcW w:w="4137" w:type="dxa"/>
            <w:vAlign w:val="center"/>
          </w:tcPr>
          <w:p w14:paraId="0EABF60D" w14:textId="77777777" w:rsidR="003951A7" w:rsidRPr="0071192E" w:rsidRDefault="003951A7" w:rsidP="000034E8">
            <w:pPr>
              <w:pStyle w:val="MainText"/>
              <w:rPr>
                <w:u w:val="single"/>
              </w:rPr>
            </w:pPr>
            <w:r w:rsidRPr="0071192E">
              <w:t>1RA, 2RA, 3RA</w:t>
            </w:r>
          </w:p>
        </w:tc>
        <w:tc>
          <w:tcPr>
            <w:tcW w:w="4159" w:type="dxa"/>
            <w:gridSpan w:val="2"/>
            <w:vAlign w:val="center"/>
          </w:tcPr>
          <w:p w14:paraId="760B0372" w14:textId="77777777" w:rsidR="003951A7" w:rsidRPr="0071192E" w:rsidRDefault="003951A7" w:rsidP="000034E8">
            <w:pPr>
              <w:pStyle w:val="MainText"/>
              <w:rPr>
                <w:u w:val="single"/>
              </w:rPr>
            </w:pPr>
            <w:r w:rsidRPr="0071192E">
              <w:t>Referred in component A on first/second/third attempt of module</w:t>
            </w:r>
            <w:r>
              <w:t>.</w:t>
            </w:r>
          </w:p>
        </w:tc>
      </w:tr>
      <w:tr w:rsidR="003951A7" w:rsidRPr="0071192E" w14:paraId="139AD7CC" w14:textId="77777777" w:rsidTr="000034E8">
        <w:tc>
          <w:tcPr>
            <w:tcW w:w="4137" w:type="dxa"/>
            <w:vAlign w:val="center"/>
          </w:tcPr>
          <w:p w14:paraId="78E15D02" w14:textId="77777777" w:rsidR="003951A7" w:rsidRPr="0071192E" w:rsidRDefault="003951A7" w:rsidP="000034E8">
            <w:pPr>
              <w:pStyle w:val="MainText"/>
              <w:rPr>
                <w:u w:val="single"/>
              </w:rPr>
            </w:pPr>
            <w:r w:rsidRPr="0071192E">
              <w:t xml:space="preserve">1RB, 2RB, 3RB  </w:t>
            </w:r>
          </w:p>
        </w:tc>
        <w:tc>
          <w:tcPr>
            <w:tcW w:w="4159" w:type="dxa"/>
            <w:gridSpan w:val="2"/>
            <w:vAlign w:val="center"/>
          </w:tcPr>
          <w:p w14:paraId="78BA0691" w14:textId="77777777" w:rsidR="003951A7" w:rsidRPr="0071192E" w:rsidRDefault="003951A7" w:rsidP="000034E8">
            <w:pPr>
              <w:pStyle w:val="MainText"/>
              <w:rPr>
                <w:u w:val="single"/>
              </w:rPr>
            </w:pPr>
            <w:r w:rsidRPr="0071192E">
              <w:t>Referred in component B on first/second/third attempt of module</w:t>
            </w:r>
            <w:r>
              <w:t>.</w:t>
            </w:r>
          </w:p>
        </w:tc>
      </w:tr>
      <w:tr w:rsidR="003951A7" w:rsidRPr="0071192E" w14:paraId="39E58BA8" w14:textId="77777777" w:rsidTr="000034E8">
        <w:tc>
          <w:tcPr>
            <w:tcW w:w="4137" w:type="dxa"/>
            <w:vAlign w:val="center"/>
          </w:tcPr>
          <w:p w14:paraId="36556EF9" w14:textId="77777777" w:rsidR="003951A7" w:rsidRPr="0071192E" w:rsidRDefault="003951A7" w:rsidP="000034E8">
            <w:pPr>
              <w:pStyle w:val="MainText"/>
              <w:rPr>
                <w:u w:val="single"/>
              </w:rPr>
            </w:pPr>
            <w:r w:rsidRPr="0071192E">
              <w:t>1RALL, 2RALL, 3RALL</w:t>
            </w:r>
          </w:p>
        </w:tc>
        <w:tc>
          <w:tcPr>
            <w:tcW w:w="4159" w:type="dxa"/>
            <w:gridSpan w:val="2"/>
            <w:vAlign w:val="center"/>
          </w:tcPr>
          <w:p w14:paraId="068F1356" w14:textId="77777777" w:rsidR="003951A7" w:rsidRPr="0071192E" w:rsidRDefault="003951A7" w:rsidP="000034E8">
            <w:pPr>
              <w:pStyle w:val="MainText"/>
              <w:rPr>
                <w:u w:val="single"/>
              </w:rPr>
            </w:pPr>
            <w:r w:rsidRPr="0071192E">
              <w:t>Referred in all components on first/second/third attempt of module</w:t>
            </w:r>
            <w:r>
              <w:t>.</w:t>
            </w:r>
          </w:p>
        </w:tc>
      </w:tr>
      <w:tr w:rsidR="003951A7" w:rsidRPr="0071192E" w14:paraId="65FAB5E8" w14:textId="77777777" w:rsidTr="000034E8">
        <w:tc>
          <w:tcPr>
            <w:tcW w:w="4137" w:type="dxa"/>
            <w:vAlign w:val="center"/>
          </w:tcPr>
          <w:p w14:paraId="362B7576" w14:textId="77777777" w:rsidR="003951A7" w:rsidRPr="0071192E" w:rsidRDefault="003951A7" w:rsidP="000034E8">
            <w:pPr>
              <w:pStyle w:val="MainText"/>
              <w:rPr>
                <w:u w:val="single"/>
              </w:rPr>
            </w:pPr>
            <w:r w:rsidRPr="0071192E">
              <w:t>1F, 2F, 3F</w:t>
            </w:r>
          </w:p>
        </w:tc>
        <w:tc>
          <w:tcPr>
            <w:tcW w:w="4159" w:type="dxa"/>
            <w:gridSpan w:val="2"/>
            <w:vAlign w:val="center"/>
          </w:tcPr>
          <w:p w14:paraId="3C460A02" w14:textId="77777777" w:rsidR="003951A7" w:rsidRPr="0071192E" w:rsidRDefault="003951A7" w:rsidP="000034E8">
            <w:pPr>
              <w:pStyle w:val="MainText"/>
              <w:rPr>
                <w:u w:val="single"/>
              </w:rPr>
            </w:pPr>
            <w:r w:rsidRPr="0071192E">
              <w:t xml:space="preserve">Failed module on a first/second/third attempt, </w:t>
            </w:r>
            <w:r>
              <w:t xml:space="preserve">student is already </w:t>
            </w:r>
            <w:r w:rsidRPr="0071192E">
              <w:t>eligible for further attempt. No further action required</w:t>
            </w:r>
            <w:r>
              <w:t xml:space="preserve"> (unless there are accepted personal circumstances to consider)</w:t>
            </w:r>
            <w:r w:rsidRPr="0071192E">
              <w:t>.</w:t>
            </w:r>
          </w:p>
        </w:tc>
      </w:tr>
      <w:tr w:rsidR="003951A7" w:rsidRPr="0071192E" w14:paraId="270D6BF2" w14:textId="77777777" w:rsidTr="000034E8">
        <w:tc>
          <w:tcPr>
            <w:tcW w:w="4137" w:type="dxa"/>
            <w:vAlign w:val="center"/>
          </w:tcPr>
          <w:p w14:paraId="5E21748C" w14:textId="77777777" w:rsidR="003951A7" w:rsidRPr="0071192E" w:rsidRDefault="003951A7" w:rsidP="000034E8">
            <w:pPr>
              <w:pStyle w:val="MainText"/>
              <w:rPr>
                <w:u w:val="single"/>
              </w:rPr>
            </w:pPr>
            <w:r w:rsidRPr="0071192E">
              <w:t>2F+</w:t>
            </w:r>
          </w:p>
        </w:tc>
        <w:tc>
          <w:tcPr>
            <w:tcW w:w="4159" w:type="dxa"/>
            <w:gridSpan w:val="2"/>
            <w:vAlign w:val="center"/>
          </w:tcPr>
          <w:p w14:paraId="448114F2" w14:textId="77777777" w:rsidR="003951A7" w:rsidRPr="0071192E" w:rsidRDefault="003951A7" w:rsidP="00355291">
            <w:pPr>
              <w:pStyle w:val="MainText"/>
              <w:rPr>
                <w:u w:val="single"/>
              </w:rPr>
            </w:pPr>
            <w:r w:rsidRPr="0071192E">
              <w:t xml:space="preserve">Failed module </w:t>
            </w:r>
            <w:r>
              <w:t xml:space="preserve">on the second attempt </w:t>
            </w:r>
            <w:r w:rsidRPr="0071192E">
              <w:t xml:space="preserve">and has used up an exceptional retake awarded </w:t>
            </w:r>
            <w:r w:rsidR="00355291">
              <w:t>by an</w:t>
            </w:r>
            <w:r w:rsidRPr="0071192E">
              <w:t xml:space="preserve"> Award Board</w:t>
            </w:r>
            <w:r w:rsidR="00355291">
              <w:t>. E</w:t>
            </w:r>
            <w:r w:rsidRPr="0071192E">
              <w:t>ligible for a further attempt.  No further action required</w:t>
            </w:r>
            <w:r>
              <w:t xml:space="preserve"> (unless there are accepted personal circumstances to consider)</w:t>
            </w:r>
            <w:r w:rsidRPr="0071192E">
              <w:t>.</w:t>
            </w:r>
          </w:p>
        </w:tc>
      </w:tr>
      <w:tr w:rsidR="003951A7" w:rsidRPr="00520419" w14:paraId="29E90B8A" w14:textId="77777777" w:rsidTr="000034E8">
        <w:tc>
          <w:tcPr>
            <w:tcW w:w="8296" w:type="dxa"/>
            <w:gridSpan w:val="3"/>
            <w:shd w:val="clear" w:color="auto" w:fill="1F3864" w:themeFill="accent5" w:themeFillShade="80"/>
          </w:tcPr>
          <w:p w14:paraId="48F2E932" w14:textId="77777777" w:rsidR="003951A7" w:rsidRPr="00520419" w:rsidRDefault="003951A7" w:rsidP="000034E8">
            <w:pPr>
              <w:pStyle w:val="MainText"/>
              <w:rPr>
                <w:b/>
              </w:rPr>
            </w:pPr>
            <w:r>
              <w:rPr>
                <w:b/>
              </w:rPr>
              <w:t>PERSONAL CIRCUMSTANCES</w:t>
            </w:r>
            <w:r w:rsidRPr="00520419">
              <w:rPr>
                <w:b/>
              </w:rPr>
              <w:t xml:space="preserve"> CODES</w:t>
            </w:r>
          </w:p>
        </w:tc>
      </w:tr>
      <w:tr w:rsidR="003951A7" w:rsidRPr="000B5F19" w14:paraId="410ABC08" w14:textId="77777777" w:rsidTr="000034E8">
        <w:tc>
          <w:tcPr>
            <w:tcW w:w="4137" w:type="dxa"/>
            <w:vAlign w:val="center"/>
          </w:tcPr>
          <w:p w14:paraId="6C6C87F2" w14:textId="77777777" w:rsidR="003951A7" w:rsidRPr="000B5F19" w:rsidRDefault="003951A7" w:rsidP="000034E8">
            <w:pPr>
              <w:pStyle w:val="MainText"/>
              <w:rPr>
                <w:lang w:val="en-JM"/>
              </w:rPr>
            </w:pPr>
            <w:r w:rsidRPr="000B5F19">
              <w:t xml:space="preserve">UZSNMQ-30-2 </w:t>
            </w:r>
            <w:r w:rsidRPr="000B5F19">
              <w:rPr>
                <w:lang w:val="en-JM"/>
              </w:rPr>
              <w:t>(EC)</w:t>
            </w:r>
          </w:p>
        </w:tc>
        <w:tc>
          <w:tcPr>
            <w:tcW w:w="4159" w:type="dxa"/>
            <w:gridSpan w:val="2"/>
            <w:vAlign w:val="center"/>
          </w:tcPr>
          <w:p w14:paraId="1AA82E73" w14:textId="77777777" w:rsidR="003951A7" w:rsidRPr="000B5F19" w:rsidRDefault="003951A7" w:rsidP="000034E8">
            <w:pPr>
              <w:pStyle w:val="MainText"/>
              <w:rPr>
                <w:lang w:val="en-JM"/>
              </w:rPr>
            </w:pPr>
            <w:r>
              <w:rPr>
                <w:lang w:val="en-JM"/>
              </w:rPr>
              <w:t>Previous personal circumstances</w:t>
            </w:r>
            <w:r w:rsidRPr="000B5F19">
              <w:rPr>
                <w:lang w:val="en-JM"/>
              </w:rPr>
              <w:t xml:space="preserve"> exist for this module which have</w:t>
            </w:r>
            <w:r>
              <w:rPr>
                <w:lang w:val="en-JM"/>
              </w:rPr>
              <w:t xml:space="preserve"> already been considered by an Award B</w:t>
            </w:r>
            <w:r w:rsidRPr="000B5F19">
              <w:rPr>
                <w:lang w:val="en-JM"/>
              </w:rPr>
              <w:t>oard meeting and have been flagged as “ongoing” – i.e. their effect could have a bearing on the board’s ultimate decision about the student’s award outcome</w:t>
            </w:r>
            <w:r>
              <w:rPr>
                <w:lang w:val="en-JM"/>
              </w:rPr>
              <w:t>.</w:t>
            </w:r>
          </w:p>
        </w:tc>
      </w:tr>
      <w:tr w:rsidR="003951A7" w:rsidRPr="000B5F19" w14:paraId="17AF7B83" w14:textId="77777777" w:rsidTr="000034E8">
        <w:tc>
          <w:tcPr>
            <w:tcW w:w="4137" w:type="dxa"/>
            <w:vAlign w:val="center"/>
          </w:tcPr>
          <w:p w14:paraId="53DC58F8" w14:textId="77777777" w:rsidR="003951A7" w:rsidRPr="000B5F19" w:rsidRDefault="003951A7" w:rsidP="000034E8">
            <w:pPr>
              <w:pStyle w:val="MainText"/>
              <w:rPr>
                <w:lang w:val="en-JM"/>
              </w:rPr>
            </w:pPr>
            <w:r w:rsidRPr="000B5F19">
              <w:rPr>
                <w:lang w:val="en-JM"/>
              </w:rPr>
              <w:t>EC(A)</w:t>
            </w:r>
          </w:p>
        </w:tc>
        <w:tc>
          <w:tcPr>
            <w:tcW w:w="4159" w:type="dxa"/>
            <w:gridSpan w:val="2"/>
            <w:vAlign w:val="center"/>
          </w:tcPr>
          <w:p w14:paraId="474E08AC" w14:textId="77777777" w:rsidR="003951A7" w:rsidRPr="000B5F19" w:rsidRDefault="003951A7" w:rsidP="000034E8">
            <w:pPr>
              <w:pStyle w:val="MainText"/>
              <w:rPr>
                <w:lang w:val="en-JM"/>
              </w:rPr>
            </w:pPr>
            <w:r w:rsidRPr="000B5F19">
              <w:t>Cu</w:t>
            </w:r>
            <w:r>
              <w:t>rrent component or module with P</w:t>
            </w:r>
            <w:r w:rsidRPr="000B5F19">
              <w:t>C accepted</w:t>
            </w:r>
            <w:r>
              <w:rPr>
                <w:lang w:val="en-JM"/>
              </w:rPr>
              <w:t>.</w:t>
            </w:r>
          </w:p>
        </w:tc>
      </w:tr>
      <w:tr w:rsidR="003951A7" w:rsidRPr="000B5F19" w14:paraId="24EC235D" w14:textId="77777777" w:rsidTr="000034E8">
        <w:tc>
          <w:tcPr>
            <w:tcW w:w="4137" w:type="dxa"/>
            <w:vAlign w:val="center"/>
          </w:tcPr>
          <w:p w14:paraId="42221FF0" w14:textId="77777777" w:rsidR="003951A7" w:rsidRPr="000B5F19" w:rsidRDefault="003951A7" w:rsidP="000034E8">
            <w:pPr>
              <w:pStyle w:val="MainText"/>
              <w:rPr>
                <w:lang w:val="en-JM"/>
              </w:rPr>
            </w:pPr>
            <w:r w:rsidRPr="000B5F19">
              <w:rPr>
                <w:lang w:val="en-JM"/>
              </w:rPr>
              <w:t>EC(R)</w:t>
            </w:r>
          </w:p>
        </w:tc>
        <w:tc>
          <w:tcPr>
            <w:tcW w:w="4159" w:type="dxa"/>
            <w:gridSpan w:val="2"/>
            <w:vAlign w:val="center"/>
          </w:tcPr>
          <w:p w14:paraId="323021BD" w14:textId="77777777" w:rsidR="003951A7" w:rsidRDefault="003951A7" w:rsidP="000034E8">
            <w:pPr>
              <w:pStyle w:val="MainText"/>
            </w:pPr>
            <w:r w:rsidRPr="000B5F19">
              <w:t>Cu</w:t>
            </w:r>
            <w:r>
              <w:t>rrent component or module with P</w:t>
            </w:r>
            <w:r w:rsidRPr="000B5F19">
              <w:t>C rejected</w:t>
            </w:r>
            <w:r>
              <w:t>.</w:t>
            </w:r>
          </w:p>
          <w:p w14:paraId="7B8B2A8B" w14:textId="77777777" w:rsidR="003951A7" w:rsidRPr="000B5F19" w:rsidRDefault="003951A7" w:rsidP="000034E8">
            <w:pPr>
              <w:pStyle w:val="MainText"/>
              <w:rPr>
                <w:lang w:val="en-JM"/>
              </w:rPr>
            </w:pPr>
            <w:r>
              <w:t>P</w:t>
            </w:r>
            <w:r w:rsidRPr="00D54083">
              <w:t xml:space="preserve">C application rejected as it did not meet the acceptable grounds or it was rejected because a student applied and had already submitted work </w:t>
            </w:r>
            <w:r w:rsidRPr="00691161">
              <w:t>or</w:t>
            </w:r>
            <w:r w:rsidRPr="00D54083">
              <w:t xml:space="preserve"> went onto submit work.</w:t>
            </w:r>
          </w:p>
        </w:tc>
      </w:tr>
      <w:tr w:rsidR="003951A7" w:rsidRPr="000B5F19" w14:paraId="18C497E9" w14:textId="77777777" w:rsidTr="000034E8">
        <w:tc>
          <w:tcPr>
            <w:tcW w:w="4137" w:type="dxa"/>
            <w:vAlign w:val="center"/>
          </w:tcPr>
          <w:p w14:paraId="12156CD9" w14:textId="77777777" w:rsidR="003951A7" w:rsidRPr="000B5F19" w:rsidRDefault="003951A7" w:rsidP="000034E8">
            <w:pPr>
              <w:pStyle w:val="MainText"/>
              <w:rPr>
                <w:lang w:val="en-JM"/>
              </w:rPr>
            </w:pPr>
            <w:r w:rsidRPr="000B5F19">
              <w:rPr>
                <w:lang w:val="en-JM"/>
              </w:rPr>
              <w:t>EC(P)</w:t>
            </w:r>
          </w:p>
        </w:tc>
        <w:tc>
          <w:tcPr>
            <w:tcW w:w="4159" w:type="dxa"/>
            <w:gridSpan w:val="2"/>
            <w:vAlign w:val="center"/>
          </w:tcPr>
          <w:p w14:paraId="5AFD6DF0" w14:textId="77777777" w:rsidR="003951A7" w:rsidRDefault="003951A7" w:rsidP="000034E8">
            <w:pPr>
              <w:pStyle w:val="MainText"/>
              <w:rPr>
                <w:lang w:val="en-JM"/>
              </w:rPr>
            </w:pPr>
            <w:r w:rsidRPr="000B5F19">
              <w:t>Cu</w:t>
            </w:r>
            <w:r>
              <w:t>rrent component or module with P</w:t>
            </w:r>
            <w:r w:rsidRPr="000B5F19">
              <w:t>C pending</w:t>
            </w:r>
            <w:r>
              <w:rPr>
                <w:lang w:val="en-JM"/>
              </w:rPr>
              <w:t>.</w:t>
            </w:r>
          </w:p>
          <w:p w14:paraId="476F775D" w14:textId="77777777" w:rsidR="003951A7" w:rsidRDefault="003951A7" w:rsidP="000034E8">
            <w:pPr>
              <w:pStyle w:val="MainText"/>
              <w:rPr>
                <w:lang w:val="en-JM"/>
              </w:rPr>
            </w:pPr>
          </w:p>
          <w:p w14:paraId="1A430933" w14:textId="77777777" w:rsidR="00355291" w:rsidRPr="000B5F19" w:rsidRDefault="00355291" w:rsidP="000034E8">
            <w:pPr>
              <w:pStyle w:val="MainText"/>
              <w:rPr>
                <w:lang w:val="en-JM"/>
              </w:rPr>
            </w:pPr>
          </w:p>
        </w:tc>
      </w:tr>
      <w:tr w:rsidR="003951A7" w:rsidRPr="00FE4708" w14:paraId="4E286F18" w14:textId="77777777" w:rsidTr="000034E8">
        <w:tblPrEx>
          <w:jc w:val="center"/>
        </w:tblPrEx>
        <w:trPr>
          <w:jc w:val="center"/>
        </w:trPr>
        <w:tc>
          <w:tcPr>
            <w:tcW w:w="8296" w:type="dxa"/>
            <w:gridSpan w:val="3"/>
            <w:shd w:val="clear" w:color="auto" w:fill="1F3864" w:themeFill="accent5" w:themeFillShade="80"/>
          </w:tcPr>
          <w:p w14:paraId="490489D4" w14:textId="77777777" w:rsidR="003951A7" w:rsidRPr="00486276" w:rsidRDefault="003951A7" w:rsidP="000034E8">
            <w:pPr>
              <w:rPr>
                <w:b/>
                <w:color w:val="FFFFFF" w:themeColor="background1"/>
              </w:rPr>
            </w:pPr>
            <w:r w:rsidRPr="00486276">
              <w:rPr>
                <w:b/>
                <w:color w:val="FFFFFF" w:themeColor="background1"/>
              </w:rPr>
              <w:lastRenderedPageBreak/>
              <w:t>FAILED MODULES</w:t>
            </w:r>
          </w:p>
        </w:tc>
      </w:tr>
      <w:tr w:rsidR="003951A7" w:rsidRPr="0071192E" w14:paraId="6B32454B" w14:textId="77777777" w:rsidTr="00417C0C">
        <w:tblPrEx>
          <w:jc w:val="center"/>
        </w:tblPrEx>
        <w:trPr>
          <w:jc w:val="center"/>
        </w:trPr>
        <w:tc>
          <w:tcPr>
            <w:tcW w:w="8296" w:type="dxa"/>
            <w:gridSpan w:val="3"/>
            <w:shd w:val="clear" w:color="auto" w:fill="auto"/>
            <w:vAlign w:val="center"/>
          </w:tcPr>
          <w:p w14:paraId="003AC6D6" w14:textId="77777777" w:rsidR="003951A7" w:rsidRPr="00783E19" w:rsidRDefault="003951A7" w:rsidP="000034E8">
            <w:pPr>
              <w:pStyle w:val="MainText"/>
              <w:rPr>
                <w:b/>
              </w:rPr>
            </w:pPr>
            <w:r w:rsidRPr="00783E19">
              <w:rPr>
                <w:b/>
              </w:rPr>
              <w:t>Fails</w:t>
            </w:r>
          </w:p>
          <w:p w14:paraId="69EAAE6C" w14:textId="77777777" w:rsidR="003951A7" w:rsidRPr="005134A4" w:rsidRDefault="003951A7" w:rsidP="00792A60">
            <w:pPr>
              <w:pStyle w:val="Bulletpointstyle"/>
              <w:numPr>
                <w:ilvl w:val="0"/>
                <w:numId w:val="0"/>
              </w:numPr>
              <w:ind w:left="22"/>
              <w:rPr>
                <w:highlight w:val="yellow"/>
                <w:u w:val="single"/>
              </w:rPr>
            </w:pPr>
            <w:r w:rsidRPr="00383548">
              <w:t xml:space="preserve">All fails need to be considered by boards.  It needs to be noted if a failed module is a compulsory module.  If it is then the student is required to withdraw from the award unless the compulsory module is being made optional or being replaced by a new compulsory module in the next academic year. If this is the case the student may then be recorded as having just failed the module but not required to withdraw from the award.  </w:t>
            </w:r>
          </w:p>
        </w:tc>
      </w:tr>
      <w:tr w:rsidR="003951A7" w:rsidRPr="0071192E" w14:paraId="56A89AAE" w14:textId="77777777" w:rsidTr="000034E8">
        <w:tblPrEx>
          <w:jc w:val="center"/>
        </w:tblPrEx>
        <w:trPr>
          <w:trHeight w:val="766"/>
          <w:jc w:val="center"/>
        </w:trPr>
        <w:tc>
          <w:tcPr>
            <w:tcW w:w="4144" w:type="dxa"/>
            <w:gridSpan w:val="2"/>
            <w:vAlign w:val="center"/>
          </w:tcPr>
          <w:p w14:paraId="0299313B" w14:textId="77777777" w:rsidR="003951A7" w:rsidRPr="0071192E" w:rsidRDefault="003951A7" w:rsidP="000034E8">
            <w:pPr>
              <w:pStyle w:val="MainText"/>
              <w:rPr>
                <w:u w:val="single"/>
              </w:rPr>
            </w:pPr>
            <w:r w:rsidRPr="0071192E">
              <w:t>FAIL</w:t>
            </w:r>
          </w:p>
        </w:tc>
        <w:tc>
          <w:tcPr>
            <w:tcW w:w="4152" w:type="dxa"/>
            <w:vAlign w:val="center"/>
          </w:tcPr>
          <w:p w14:paraId="4A0255F6" w14:textId="77777777" w:rsidR="003951A7" w:rsidRPr="0071192E" w:rsidRDefault="003951A7" w:rsidP="00355291">
            <w:pPr>
              <w:pStyle w:val="MainText"/>
              <w:rPr>
                <w:u w:val="single"/>
              </w:rPr>
            </w:pPr>
            <w:r w:rsidRPr="0071192E">
              <w:t xml:space="preserve">Failed module, not eligible for </w:t>
            </w:r>
            <w:r>
              <w:t xml:space="preserve">a </w:t>
            </w:r>
            <w:r w:rsidRPr="0071192E">
              <w:t xml:space="preserve">retake </w:t>
            </w:r>
            <w:r>
              <w:t>unless there are accepted per</w:t>
            </w:r>
            <w:r w:rsidR="00355291">
              <w:t>sonal circumstances to consider</w:t>
            </w:r>
            <w:r>
              <w:t>.</w:t>
            </w:r>
          </w:p>
        </w:tc>
      </w:tr>
      <w:tr w:rsidR="003951A7" w:rsidRPr="0071192E" w14:paraId="5957EFC2" w14:textId="77777777" w:rsidTr="000034E8">
        <w:tblPrEx>
          <w:jc w:val="center"/>
        </w:tblPrEx>
        <w:trPr>
          <w:jc w:val="center"/>
        </w:trPr>
        <w:tc>
          <w:tcPr>
            <w:tcW w:w="4144" w:type="dxa"/>
            <w:gridSpan w:val="2"/>
            <w:vAlign w:val="center"/>
          </w:tcPr>
          <w:p w14:paraId="1D42EDAA" w14:textId="77777777" w:rsidR="003951A7" w:rsidRPr="0071192E" w:rsidRDefault="003951A7" w:rsidP="000034E8">
            <w:pPr>
              <w:pStyle w:val="MainText"/>
              <w:rPr>
                <w:u w:val="single"/>
              </w:rPr>
            </w:pPr>
            <w:r w:rsidRPr="0071192E">
              <w:t>FAIL (2)</w:t>
            </w:r>
          </w:p>
        </w:tc>
        <w:tc>
          <w:tcPr>
            <w:tcW w:w="4152" w:type="dxa"/>
            <w:vAlign w:val="center"/>
          </w:tcPr>
          <w:p w14:paraId="2BA44E2D" w14:textId="77777777" w:rsidR="003951A7" w:rsidRPr="0071192E" w:rsidRDefault="003951A7" w:rsidP="000034E8">
            <w:pPr>
              <w:pStyle w:val="MainText"/>
              <w:rPr>
                <w:u w:val="single"/>
              </w:rPr>
            </w:pPr>
            <w:r w:rsidRPr="0071192E">
              <w:t>Failed module on a second attempt, not eligible for exceptional retake</w:t>
            </w:r>
            <w:r>
              <w:t>.</w:t>
            </w:r>
          </w:p>
        </w:tc>
      </w:tr>
      <w:tr w:rsidR="003951A7" w:rsidRPr="0071192E" w14:paraId="1DCCF6CC" w14:textId="77777777" w:rsidTr="000034E8">
        <w:tblPrEx>
          <w:jc w:val="center"/>
        </w:tblPrEx>
        <w:trPr>
          <w:jc w:val="center"/>
        </w:trPr>
        <w:tc>
          <w:tcPr>
            <w:tcW w:w="4144" w:type="dxa"/>
            <w:gridSpan w:val="2"/>
            <w:vAlign w:val="center"/>
          </w:tcPr>
          <w:p w14:paraId="1D95D665" w14:textId="77777777" w:rsidR="003951A7" w:rsidRPr="0071192E" w:rsidRDefault="003951A7" w:rsidP="000034E8">
            <w:pPr>
              <w:pStyle w:val="MainText"/>
              <w:rPr>
                <w:u w:val="single"/>
              </w:rPr>
            </w:pPr>
            <w:r w:rsidRPr="0071192E">
              <w:t>FAIL?</w:t>
            </w:r>
          </w:p>
        </w:tc>
        <w:tc>
          <w:tcPr>
            <w:tcW w:w="4152" w:type="dxa"/>
            <w:vAlign w:val="center"/>
          </w:tcPr>
          <w:p w14:paraId="184EB045" w14:textId="77777777" w:rsidR="003951A7" w:rsidRPr="0071192E" w:rsidRDefault="003951A7" w:rsidP="00355291">
            <w:pPr>
              <w:pStyle w:val="MainText"/>
              <w:rPr>
                <w:u w:val="single"/>
              </w:rPr>
            </w:pPr>
            <w:r w:rsidRPr="0071192E">
              <w:t xml:space="preserve">Failed module, eligible for exceptional retake </w:t>
            </w:r>
            <w:r w:rsidR="00355291">
              <w:t>if agreed by an Award Board.</w:t>
            </w:r>
          </w:p>
        </w:tc>
      </w:tr>
      <w:tr w:rsidR="003951A7" w:rsidRPr="0071192E" w14:paraId="6E940E2D" w14:textId="77777777" w:rsidTr="000034E8">
        <w:tblPrEx>
          <w:jc w:val="center"/>
        </w:tblPrEx>
        <w:trPr>
          <w:jc w:val="center"/>
        </w:trPr>
        <w:tc>
          <w:tcPr>
            <w:tcW w:w="4144" w:type="dxa"/>
            <w:gridSpan w:val="2"/>
            <w:vAlign w:val="center"/>
          </w:tcPr>
          <w:p w14:paraId="5B24BEA2" w14:textId="77777777" w:rsidR="003951A7" w:rsidRPr="0071192E" w:rsidRDefault="003951A7" w:rsidP="000034E8">
            <w:pPr>
              <w:pStyle w:val="MainText"/>
              <w:rPr>
                <w:u w:val="single"/>
              </w:rPr>
            </w:pPr>
            <w:r w:rsidRPr="0071192E">
              <w:t>F+</w:t>
            </w:r>
          </w:p>
        </w:tc>
        <w:tc>
          <w:tcPr>
            <w:tcW w:w="4152" w:type="dxa"/>
            <w:vAlign w:val="center"/>
          </w:tcPr>
          <w:p w14:paraId="2BB2347B" w14:textId="77777777" w:rsidR="003951A7" w:rsidRPr="0071192E" w:rsidRDefault="003951A7" w:rsidP="00355291">
            <w:pPr>
              <w:pStyle w:val="MainText"/>
              <w:rPr>
                <w:u w:val="single"/>
              </w:rPr>
            </w:pPr>
            <w:r w:rsidRPr="0071192E">
              <w:t>Failed module on an exceptional retake, not eligible for a further exceptional retake as they have previously had one awarded.</w:t>
            </w:r>
          </w:p>
        </w:tc>
      </w:tr>
      <w:tr w:rsidR="003951A7" w:rsidRPr="0071192E" w14:paraId="0494C7F9" w14:textId="77777777" w:rsidTr="000034E8">
        <w:tblPrEx>
          <w:jc w:val="center"/>
        </w:tblPrEx>
        <w:trPr>
          <w:jc w:val="center"/>
        </w:trPr>
        <w:tc>
          <w:tcPr>
            <w:tcW w:w="4144" w:type="dxa"/>
            <w:gridSpan w:val="2"/>
            <w:vAlign w:val="center"/>
          </w:tcPr>
          <w:p w14:paraId="40F0B6BB" w14:textId="77777777" w:rsidR="003951A7" w:rsidRPr="0071192E" w:rsidRDefault="003951A7" w:rsidP="000034E8">
            <w:pPr>
              <w:pStyle w:val="MainText"/>
            </w:pPr>
            <w:r w:rsidRPr="0071192E">
              <w:t>FAIL(2)?</w:t>
            </w:r>
          </w:p>
        </w:tc>
        <w:tc>
          <w:tcPr>
            <w:tcW w:w="4152" w:type="dxa"/>
            <w:vAlign w:val="center"/>
          </w:tcPr>
          <w:p w14:paraId="6D9EEA70" w14:textId="77777777" w:rsidR="003951A7" w:rsidRPr="0071192E" w:rsidRDefault="003951A7" w:rsidP="00355291">
            <w:pPr>
              <w:pStyle w:val="MainText"/>
            </w:pPr>
            <w:r w:rsidRPr="0071192E">
              <w:t xml:space="preserve">Failed module on a second attempt, eligible for exceptional retake </w:t>
            </w:r>
            <w:r w:rsidR="00355291">
              <w:t xml:space="preserve">if agreed by an </w:t>
            </w:r>
            <w:r w:rsidRPr="0071192E">
              <w:t xml:space="preserve">Award Board. </w:t>
            </w:r>
          </w:p>
        </w:tc>
      </w:tr>
      <w:tr w:rsidR="003951A7" w:rsidRPr="00520419" w14:paraId="4FD40C27" w14:textId="77777777" w:rsidTr="000034E8">
        <w:tblPrEx>
          <w:jc w:val="center"/>
        </w:tblPrEx>
        <w:trPr>
          <w:jc w:val="center"/>
        </w:trPr>
        <w:tc>
          <w:tcPr>
            <w:tcW w:w="8296" w:type="dxa"/>
            <w:gridSpan w:val="3"/>
            <w:shd w:val="clear" w:color="auto" w:fill="1F3864" w:themeFill="accent5" w:themeFillShade="80"/>
          </w:tcPr>
          <w:p w14:paraId="5AC8438B" w14:textId="77777777" w:rsidR="003951A7" w:rsidRPr="00520419" w:rsidRDefault="003951A7" w:rsidP="000034E8">
            <w:pPr>
              <w:pStyle w:val="MainText"/>
              <w:rPr>
                <w:b/>
                <w:color w:val="FFFFFF" w:themeColor="background1"/>
              </w:rPr>
            </w:pPr>
            <w:r w:rsidRPr="00520419">
              <w:rPr>
                <w:b/>
                <w:color w:val="FFFFFF" w:themeColor="background1"/>
              </w:rPr>
              <w:t xml:space="preserve">AWARD BOARD DECISIONS (ABDEC) </w:t>
            </w:r>
          </w:p>
        </w:tc>
      </w:tr>
      <w:tr w:rsidR="003951A7" w:rsidRPr="0071192E" w14:paraId="676EDF72" w14:textId="77777777" w:rsidTr="000034E8">
        <w:tblPrEx>
          <w:jc w:val="center"/>
        </w:tblPrEx>
        <w:trPr>
          <w:jc w:val="center"/>
        </w:trPr>
        <w:tc>
          <w:tcPr>
            <w:tcW w:w="8296" w:type="dxa"/>
            <w:gridSpan w:val="3"/>
            <w:vAlign w:val="center"/>
          </w:tcPr>
          <w:p w14:paraId="14E31A26" w14:textId="77777777" w:rsidR="003951A7" w:rsidRPr="0071192E" w:rsidRDefault="003951A7" w:rsidP="000034E8">
            <w:pPr>
              <w:pStyle w:val="MainText"/>
            </w:pPr>
            <w:r w:rsidRPr="0071192E">
              <w:t>T</w:t>
            </w:r>
            <w:r>
              <w:t xml:space="preserve">hese occur on </w:t>
            </w:r>
            <w:r w:rsidRPr="0071192E">
              <w:t>professional practice module</w:t>
            </w:r>
            <w:r>
              <w:t>s</w:t>
            </w:r>
            <w:r w:rsidRPr="0071192E">
              <w:t xml:space="preserve"> – and any further opportunity to resit </w:t>
            </w:r>
            <w:r>
              <w:t xml:space="preserve">/ retake </w:t>
            </w:r>
            <w:r w:rsidRPr="0071192E">
              <w:t>is agreed by the examination board</w:t>
            </w:r>
            <w:r w:rsidRPr="00BF35A5">
              <w:t xml:space="preserve">.  N.B. The decision is prefixed by the module run enrolment attempt number and module run enrolment </w:t>
            </w:r>
            <w:r>
              <w:t>sit</w:t>
            </w:r>
            <w:r w:rsidRPr="00BF35A5">
              <w:t xml:space="preserve"> number. The number after the ABDEC shows the number of fails.</w:t>
            </w:r>
          </w:p>
        </w:tc>
      </w:tr>
      <w:tr w:rsidR="003951A7" w:rsidRPr="0071192E" w14:paraId="2B5DD61C" w14:textId="77777777" w:rsidTr="000034E8">
        <w:tblPrEx>
          <w:jc w:val="center"/>
        </w:tblPrEx>
        <w:trPr>
          <w:jc w:val="center"/>
        </w:trPr>
        <w:tc>
          <w:tcPr>
            <w:tcW w:w="4144" w:type="dxa"/>
            <w:gridSpan w:val="2"/>
            <w:vAlign w:val="center"/>
          </w:tcPr>
          <w:p w14:paraId="237F08BC" w14:textId="77777777" w:rsidR="003951A7" w:rsidRPr="0071192E" w:rsidRDefault="003951A7" w:rsidP="000034E8">
            <w:pPr>
              <w:pStyle w:val="MainText"/>
            </w:pPr>
            <w:r w:rsidRPr="0071192E">
              <w:t>1_1_ABDEC 1</w:t>
            </w:r>
          </w:p>
        </w:tc>
        <w:tc>
          <w:tcPr>
            <w:tcW w:w="4152" w:type="dxa"/>
            <w:vAlign w:val="center"/>
          </w:tcPr>
          <w:p w14:paraId="5B7ED27C" w14:textId="77777777" w:rsidR="003951A7" w:rsidRPr="0071192E" w:rsidRDefault="003951A7" w:rsidP="000034E8">
            <w:pPr>
              <w:pStyle w:val="MainText"/>
            </w:pPr>
            <w:r w:rsidRPr="0071192E">
              <w:t xml:space="preserve">Award Board Decision on professional practice module, first </w:t>
            </w:r>
            <w:r>
              <w:t>sit</w:t>
            </w:r>
            <w:r w:rsidRPr="0071192E">
              <w:t>, first attempt</w:t>
            </w:r>
            <w:r>
              <w:t>.</w:t>
            </w:r>
          </w:p>
        </w:tc>
      </w:tr>
      <w:tr w:rsidR="003951A7" w:rsidRPr="0071192E" w14:paraId="74CE5F1C" w14:textId="77777777" w:rsidTr="000034E8">
        <w:tblPrEx>
          <w:jc w:val="center"/>
        </w:tblPrEx>
        <w:trPr>
          <w:jc w:val="center"/>
        </w:trPr>
        <w:tc>
          <w:tcPr>
            <w:tcW w:w="4144" w:type="dxa"/>
            <w:gridSpan w:val="2"/>
            <w:vAlign w:val="center"/>
          </w:tcPr>
          <w:p w14:paraId="49EBBBB3" w14:textId="77777777" w:rsidR="003951A7" w:rsidRPr="0071192E" w:rsidRDefault="003951A7" w:rsidP="000034E8">
            <w:pPr>
              <w:pStyle w:val="MainText"/>
            </w:pPr>
            <w:r w:rsidRPr="0071192E">
              <w:t>1_2 ABDEC 2</w:t>
            </w:r>
          </w:p>
        </w:tc>
        <w:tc>
          <w:tcPr>
            <w:tcW w:w="4152" w:type="dxa"/>
            <w:vAlign w:val="center"/>
          </w:tcPr>
          <w:p w14:paraId="738C9F76" w14:textId="77777777" w:rsidR="003951A7" w:rsidRPr="0071192E" w:rsidRDefault="003951A7" w:rsidP="000034E8">
            <w:pPr>
              <w:pStyle w:val="MainText"/>
            </w:pPr>
            <w:r w:rsidRPr="0071192E">
              <w:t xml:space="preserve">Award Board Decision on professional practice module, second </w:t>
            </w:r>
            <w:r>
              <w:t>sit</w:t>
            </w:r>
            <w:r w:rsidRPr="0071192E">
              <w:t>, first attempt</w:t>
            </w:r>
            <w:r>
              <w:t>.</w:t>
            </w:r>
          </w:p>
        </w:tc>
      </w:tr>
      <w:tr w:rsidR="003951A7" w:rsidRPr="0071192E" w14:paraId="5E4DF64D" w14:textId="77777777" w:rsidTr="000034E8">
        <w:tblPrEx>
          <w:jc w:val="center"/>
        </w:tblPrEx>
        <w:trPr>
          <w:jc w:val="center"/>
        </w:trPr>
        <w:tc>
          <w:tcPr>
            <w:tcW w:w="4144" w:type="dxa"/>
            <w:gridSpan w:val="2"/>
            <w:vAlign w:val="center"/>
          </w:tcPr>
          <w:p w14:paraId="2C23AF15" w14:textId="77777777" w:rsidR="003951A7" w:rsidRPr="0071192E" w:rsidRDefault="003951A7" w:rsidP="000034E8">
            <w:pPr>
              <w:pStyle w:val="MainText"/>
            </w:pPr>
            <w:r w:rsidRPr="0071192E">
              <w:t>2_1_ABDEC 3</w:t>
            </w:r>
          </w:p>
        </w:tc>
        <w:tc>
          <w:tcPr>
            <w:tcW w:w="4152" w:type="dxa"/>
            <w:vAlign w:val="center"/>
          </w:tcPr>
          <w:p w14:paraId="7000807C" w14:textId="77777777" w:rsidR="003951A7" w:rsidRPr="0071192E" w:rsidRDefault="003951A7" w:rsidP="000034E8">
            <w:pPr>
              <w:pStyle w:val="MainText"/>
            </w:pPr>
            <w:r w:rsidRPr="0071192E">
              <w:t xml:space="preserve">Award Board Decision on professional practice module, first </w:t>
            </w:r>
            <w:r>
              <w:t>sit</w:t>
            </w:r>
            <w:r w:rsidRPr="0071192E">
              <w:t>, second attempt</w:t>
            </w:r>
            <w:r>
              <w:t>.</w:t>
            </w:r>
          </w:p>
        </w:tc>
      </w:tr>
      <w:tr w:rsidR="003951A7" w:rsidRPr="0071192E" w14:paraId="3C7D160A" w14:textId="77777777" w:rsidTr="000034E8">
        <w:tblPrEx>
          <w:jc w:val="center"/>
        </w:tblPrEx>
        <w:trPr>
          <w:jc w:val="center"/>
        </w:trPr>
        <w:tc>
          <w:tcPr>
            <w:tcW w:w="4144" w:type="dxa"/>
            <w:gridSpan w:val="2"/>
            <w:vAlign w:val="center"/>
          </w:tcPr>
          <w:p w14:paraId="6FEEDF7B" w14:textId="77777777" w:rsidR="003951A7" w:rsidRPr="0071192E" w:rsidRDefault="003951A7" w:rsidP="000034E8">
            <w:pPr>
              <w:pStyle w:val="MainText"/>
            </w:pPr>
            <w:r w:rsidRPr="0071192E">
              <w:t>2</w:t>
            </w:r>
            <w:r w:rsidRPr="00AF588E">
              <w:t>_2_ABDEC 4</w:t>
            </w:r>
          </w:p>
        </w:tc>
        <w:tc>
          <w:tcPr>
            <w:tcW w:w="4152" w:type="dxa"/>
            <w:vAlign w:val="center"/>
          </w:tcPr>
          <w:p w14:paraId="3A006706" w14:textId="77777777" w:rsidR="003951A7" w:rsidRPr="0071192E" w:rsidRDefault="003951A7" w:rsidP="000034E8">
            <w:pPr>
              <w:pStyle w:val="MainText"/>
            </w:pPr>
            <w:r w:rsidRPr="0071192E">
              <w:t xml:space="preserve">Award Board Decision on professional practice module, second </w:t>
            </w:r>
            <w:r>
              <w:t>sit</w:t>
            </w:r>
            <w:r w:rsidRPr="0071192E">
              <w:t>, second attempt</w:t>
            </w:r>
            <w:r>
              <w:t>.</w:t>
            </w:r>
          </w:p>
        </w:tc>
      </w:tr>
    </w:tbl>
    <w:p w14:paraId="25C354B4" w14:textId="77777777" w:rsidR="003951A7" w:rsidRDefault="003951A7" w:rsidP="003951A7"/>
    <w:p w14:paraId="5195336A" w14:textId="77777777" w:rsidR="003951A7" w:rsidRDefault="003951A7" w:rsidP="003951A7">
      <w:pPr>
        <w:rPr>
          <w:b/>
          <w:u w:val="single"/>
        </w:rPr>
      </w:pPr>
    </w:p>
    <w:tbl>
      <w:tblPr>
        <w:tblStyle w:val="TableGrid"/>
        <w:tblW w:w="0" w:type="auto"/>
        <w:jc w:val="center"/>
        <w:tblLook w:val="04A0" w:firstRow="1" w:lastRow="0" w:firstColumn="1" w:lastColumn="0" w:noHBand="0" w:noVBand="1"/>
      </w:tblPr>
      <w:tblGrid>
        <w:gridCol w:w="2060"/>
        <w:gridCol w:w="2082"/>
        <w:gridCol w:w="6"/>
        <w:gridCol w:w="61"/>
        <w:gridCol w:w="2029"/>
        <w:gridCol w:w="2058"/>
      </w:tblGrid>
      <w:tr w:rsidR="003951A7" w:rsidRPr="00520419" w14:paraId="7A07E175" w14:textId="77777777" w:rsidTr="000034E8">
        <w:trPr>
          <w:jc w:val="center"/>
        </w:trPr>
        <w:tc>
          <w:tcPr>
            <w:tcW w:w="8296" w:type="dxa"/>
            <w:gridSpan w:val="6"/>
            <w:shd w:val="clear" w:color="auto" w:fill="1F3864" w:themeFill="accent5" w:themeFillShade="80"/>
          </w:tcPr>
          <w:p w14:paraId="63E241EC" w14:textId="77777777" w:rsidR="003951A7" w:rsidRPr="00520419" w:rsidRDefault="003951A7" w:rsidP="000034E8">
            <w:pPr>
              <w:pStyle w:val="MainText"/>
              <w:rPr>
                <w:b/>
                <w:u w:val="single"/>
              </w:rPr>
            </w:pPr>
            <w:r w:rsidRPr="00520419">
              <w:rPr>
                <w:b/>
              </w:rPr>
              <w:t>OTHER CODES</w:t>
            </w:r>
          </w:p>
        </w:tc>
      </w:tr>
      <w:tr w:rsidR="003951A7" w:rsidRPr="0071192E" w14:paraId="26DBDD17" w14:textId="77777777" w:rsidTr="000034E8">
        <w:trPr>
          <w:jc w:val="center"/>
        </w:trPr>
        <w:tc>
          <w:tcPr>
            <w:tcW w:w="4142" w:type="dxa"/>
            <w:gridSpan w:val="2"/>
          </w:tcPr>
          <w:p w14:paraId="1B6146D5" w14:textId="77777777" w:rsidR="003951A7" w:rsidRPr="0071192E" w:rsidRDefault="003951A7" w:rsidP="000034E8">
            <w:pPr>
              <w:pStyle w:val="MainText"/>
            </w:pPr>
            <w:r w:rsidRPr="0071192E">
              <w:t xml:space="preserve">30 (C) </w:t>
            </w:r>
          </w:p>
        </w:tc>
        <w:tc>
          <w:tcPr>
            <w:tcW w:w="4154" w:type="dxa"/>
            <w:gridSpan w:val="4"/>
          </w:tcPr>
          <w:p w14:paraId="7DE720A2" w14:textId="77777777" w:rsidR="003951A7" w:rsidRPr="0071192E" w:rsidRDefault="003951A7" w:rsidP="000034E8">
            <w:pPr>
              <w:pStyle w:val="MainText"/>
            </w:pPr>
            <w:r w:rsidRPr="0071192E">
              <w:t>Previously condoned module</w:t>
            </w:r>
            <w:r>
              <w:t>.</w:t>
            </w:r>
          </w:p>
        </w:tc>
      </w:tr>
      <w:tr w:rsidR="003951A7" w:rsidRPr="006E63C8" w14:paraId="236CD7B0" w14:textId="77777777" w:rsidTr="000034E8">
        <w:trPr>
          <w:jc w:val="center"/>
        </w:trPr>
        <w:tc>
          <w:tcPr>
            <w:tcW w:w="4148" w:type="dxa"/>
            <w:gridSpan w:val="3"/>
            <w:shd w:val="clear" w:color="auto" w:fill="auto"/>
          </w:tcPr>
          <w:p w14:paraId="5BBD871B" w14:textId="77777777" w:rsidR="003951A7" w:rsidRPr="00814DEF" w:rsidRDefault="003951A7" w:rsidP="000034E8">
            <w:pPr>
              <w:pStyle w:val="MainText"/>
            </w:pPr>
            <w:r w:rsidRPr="00814DEF">
              <w:lastRenderedPageBreak/>
              <w:t>AO</w:t>
            </w:r>
          </w:p>
        </w:tc>
        <w:tc>
          <w:tcPr>
            <w:tcW w:w="4148" w:type="dxa"/>
            <w:gridSpan w:val="3"/>
            <w:shd w:val="clear" w:color="auto" w:fill="auto"/>
          </w:tcPr>
          <w:p w14:paraId="10F50927" w14:textId="77777777" w:rsidR="003951A7" w:rsidRPr="006E63C8" w:rsidRDefault="003951A7" w:rsidP="000034E8">
            <w:pPr>
              <w:pStyle w:val="MainText"/>
            </w:pPr>
            <w:r w:rsidRPr="00814DEF">
              <w:t>Assessment Offence</w:t>
            </w:r>
          </w:p>
        </w:tc>
      </w:tr>
      <w:tr w:rsidR="003951A7" w:rsidRPr="00520419" w14:paraId="5E441125" w14:textId="77777777" w:rsidTr="000034E8">
        <w:trPr>
          <w:jc w:val="center"/>
        </w:trPr>
        <w:tc>
          <w:tcPr>
            <w:tcW w:w="8296" w:type="dxa"/>
            <w:gridSpan w:val="6"/>
            <w:shd w:val="clear" w:color="auto" w:fill="1F3864" w:themeFill="accent5" w:themeFillShade="80"/>
          </w:tcPr>
          <w:p w14:paraId="219B4F75" w14:textId="77777777" w:rsidR="003951A7" w:rsidRPr="00520419" w:rsidRDefault="003951A7" w:rsidP="000034E8">
            <w:pPr>
              <w:pStyle w:val="MainText"/>
              <w:rPr>
                <w:b/>
                <w:u w:val="single"/>
              </w:rPr>
            </w:pPr>
            <w:r w:rsidRPr="00520419">
              <w:rPr>
                <w:b/>
                <w:lang w:val="en-JM"/>
              </w:rPr>
              <w:t>DECISION CODES</w:t>
            </w:r>
          </w:p>
        </w:tc>
      </w:tr>
      <w:tr w:rsidR="003951A7" w:rsidRPr="0071192E" w14:paraId="5D04DB0A" w14:textId="77777777" w:rsidTr="000034E8">
        <w:trPr>
          <w:jc w:val="center"/>
        </w:trPr>
        <w:tc>
          <w:tcPr>
            <w:tcW w:w="4142" w:type="dxa"/>
            <w:gridSpan w:val="2"/>
          </w:tcPr>
          <w:p w14:paraId="7452A9E1" w14:textId="77777777" w:rsidR="003951A7" w:rsidRPr="00DF1D99" w:rsidRDefault="003951A7" w:rsidP="000034E8">
            <w:pPr>
              <w:pStyle w:val="MainText"/>
            </w:pPr>
            <w:r w:rsidRPr="00DF1D99">
              <w:rPr>
                <w:lang w:val="en-JM"/>
              </w:rPr>
              <w:t xml:space="preserve">NYE </w:t>
            </w:r>
          </w:p>
        </w:tc>
        <w:tc>
          <w:tcPr>
            <w:tcW w:w="4154" w:type="dxa"/>
            <w:gridSpan w:val="4"/>
          </w:tcPr>
          <w:p w14:paraId="224C1D18" w14:textId="77777777" w:rsidR="003951A7" w:rsidRPr="0071192E" w:rsidRDefault="003951A7" w:rsidP="000034E8">
            <w:pPr>
              <w:pStyle w:val="MainText"/>
            </w:pPr>
            <w:r w:rsidRPr="0071192E">
              <w:rPr>
                <w:lang w:val="en-JM"/>
              </w:rPr>
              <w:t>Not yet eligible (i.e. passed all modules taken)</w:t>
            </w:r>
            <w:r>
              <w:rPr>
                <w:lang w:val="en-JM"/>
              </w:rPr>
              <w:t>.</w:t>
            </w:r>
          </w:p>
        </w:tc>
      </w:tr>
      <w:tr w:rsidR="003951A7" w:rsidRPr="0071192E" w14:paraId="7F4AE564" w14:textId="77777777" w:rsidTr="000034E8">
        <w:trPr>
          <w:jc w:val="center"/>
        </w:trPr>
        <w:tc>
          <w:tcPr>
            <w:tcW w:w="4142" w:type="dxa"/>
            <w:gridSpan w:val="2"/>
          </w:tcPr>
          <w:p w14:paraId="1E53E6C0" w14:textId="77777777" w:rsidR="003951A7" w:rsidRPr="00DF1D99" w:rsidRDefault="003951A7" w:rsidP="000034E8">
            <w:pPr>
              <w:pStyle w:val="MainText"/>
            </w:pPr>
            <w:r w:rsidRPr="00DF1D99">
              <w:rPr>
                <w:lang w:val="en-JM"/>
              </w:rPr>
              <w:t xml:space="preserve">Refer </w:t>
            </w:r>
          </w:p>
        </w:tc>
        <w:tc>
          <w:tcPr>
            <w:tcW w:w="4154" w:type="dxa"/>
            <w:gridSpan w:val="4"/>
          </w:tcPr>
          <w:p w14:paraId="13C81E9B" w14:textId="77777777" w:rsidR="003951A7" w:rsidRPr="0071192E" w:rsidRDefault="003951A7" w:rsidP="000034E8">
            <w:pPr>
              <w:pStyle w:val="MainText"/>
            </w:pPr>
            <w:r>
              <w:rPr>
                <w:lang w:val="en-JM"/>
              </w:rPr>
              <w:t>S</w:t>
            </w:r>
            <w:r w:rsidRPr="0071192E">
              <w:rPr>
                <w:lang w:val="en-JM"/>
              </w:rPr>
              <w:t>tudent is required to resit / retake a module/s</w:t>
            </w:r>
            <w:r>
              <w:rPr>
                <w:lang w:val="en-JM"/>
              </w:rPr>
              <w:t>.</w:t>
            </w:r>
          </w:p>
        </w:tc>
      </w:tr>
      <w:tr w:rsidR="003951A7" w:rsidRPr="0071192E" w14:paraId="49D3E61F" w14:textId="77777777" w:rsidTr="000034E8">
        <w:trPr>
          <w:jc w:val="center"/>
        </w:trPr>
        <w:tc>
          <w:tcPr>
            <w:tcW w:w="4142" w:type="dxa"/>
            <w:gridSpan w:val="2"/>
          </w:tcPr>
          <w:p w14:paraId="774F194C" w14:textId="77777777" w:rsidR="003951A7" w:rsidRPr="00DF1D99" w:rsidRDefault="003951A7" w:rsidP="000034E8">
            <w:pPr>
              <w:pStyle w:val="MainText"/>
            </w:pPr>
            <w:r w:rsidRPr="00DF1D99">
              <w:rPr>
                <w:lang w:val="en-JM"/>
              </w:rPr>
              <w:t xml:space="preserve">RW </w:t>
            </w:r>
          </w:p>
        </w:tc>
        <w:tc>
          <w:tcPr>
            <w:tcW w:w="4154" w:type="dxa"/>
            <w:gridSpan w:val="4"/>
          </w:tcPr>
          <w:p w14:paraId="308A6F13" w14:textId="77777777" w:rsidR="003951A7" w:rsidRPr="0071192E" w:rsidRDefault="003951A7" w:rsidP="000034E8">
            <w:pPr>
              <w:pStyle w:val="MainText"/>
            </w:pPr>
            <w:r w:rsidRPr="0071192E">
              <w:rPr>
                <w:lang w:val="en-JM"/>
              </w:rPr>
              <w:t>Required to Withdraw</w:t>
            </w:r>
            <w:r>
              <w:rPr>
                <w:lang w:val="en-JM"/>
              </w:rPr>
              <w:t>.</w:t>
            </w:r>
          </w:p>
        </w:tc>
      </w:tr>
      <w:tr w:rsidR="003951A7" w:rsidRPr="00520419" w14:paraId="0C39C732" w14:textId="77777777" w:rsidTr="000034E8">
        <w:trPr>
          <w:jc w:val="center"/>
        </w:trPr>
        <w:tc>
          <w:tcPr>
            <w:tcW w:w="8296" w:type="dxa"/>
            <w:gridSpan w:val="6"/>
            <w:shd w:val="clear" w:color="auto" w:fill="1F3864" w:themeFill="accent5" w:themeFillShade="80"/>
          </w:tcPr>
          <w:p w14:paraId="61301245" w14:textId="77777777" w:rsidR="003951A7" w:rsidRPr="00520419" w:rsidRDefault="003951A7" w:rsidP="000034E8">
            <w:pPr>
              <w:pStyle w:val="MainText"/>
              <w:rPr>
                <w:b/>
              </w:rPr>
            </w:pPr>
            <w:r w:rsidRPr="00520419">
              <w:rPr>
                <w:b/>
                <w:lang w:val="en-JM"/>
              </w:rPr>
              <w:t>CLASSIFICATION CODES</w:t>
            </w:r>
          </w:p>
        </w:tc>
      </w:tr>
      <w:tr w:rsidR="003951A7" w14:paraId="67433A71" w14:textId="77777777" w:rsidTr="000034E8">
        <w:trPr>
          <w:jc w:val="center"/>
        </w:trPr>
        <w:tc>
          <w:tcPr>
            <w:tcW w:w="2060" w:type="dxa"/>
          </w:tcPr>
          <w:p w14:paraId="1F9B92BF" w14:textId="77777777" w:rsidR="003951A7" w:rsidRPr="00DF1D99" w:rsidRDefault="003951A7" w:rsidP="000034E8">
            <w:pPr>
              <w:pStyle w:val="MainText"/>
              <w:rPr>
                <w:u w:val="single"/>
              </w:rPr>
            </w:pPr>
            <w:r w:rsidRPr="00DF1D99">
              <w:rPr>
                <w:lang w:val="en-JM"/>
              </w:rPr>
              <w:t>1</w:t>
            </w:r>
          </w:p>
        </w:tc>
        <w:tc>
          <w:tcPr>
            <w:tcW w:w="2149" w:type="dxa"/>
            <w:gridSpan w:val="3"/>
          </w:tcPr>
          <w:p w14:paraId="2E596B1A" w14:textId="77777777" w:rsidR="003951A7" w:rsidRDefault="003951A7" w:rsidP="000034E8">
            <w:pPr>
              <w:pStyle w:val="MainText"/>
              <w:rPr>
                <w:u w:val="single"/>
              </w:rPr>
            </w:pPr>
            <w:r w:rsidRPr="0071192E">
              <w:rPr>
                <w:lang w:val="en-JM"/>
              </w:rPr>
              <w:t>First</w:t>
            </w:r>
          </w:p>
        </w:tc>
        <w:tc>
          <w:tcPr>
            <w:tcW w:w="2029" w:type="dxa"/>
          </w:tcPr>
          <w:p w14:paraId="376E8363" w14:textId="77777777" w:rsidR="003951A7" w:rsidRPr="004F6E68" w:rsidRDefault="003951A7" w:rsidP="000034E8">
            <w:pPr>
              <w:pStyle w:val="MainText"/>
              <w:rPr>
                <w:u w:val="single"/>
              </w:rPr>
            </w:pPr>
            <w:r w:rsidRPr="004F6E68">
              <w:t>MP</w:t>
            </w:r>
          </w:p>
        </w:tc>
        <w:tc>
          <w:tcPr>
            <w:tcW w:w="2058" w:type="dxa"/>
          </w:tcPr>
          <w:p w14:paraId="25B3369F" w14:textId="77777777" w:rsidR="003951A7" w:rsidRDefault="003951A7" w:rsidP="000034E8">
            <w:pPr>
              <w:pStyle w:val="MainText"/>
              <w:rPr>
                <w:u w:val="single"/>
              </w:rPr>
            </w:pPr>
            <w:r>
              <w:rPr>
                <w:lang w:val="en-JM"/>
              </w:rPr>
              <w:t>Masters</w:t>
            </w:r>
            <w:r w:rsidRPr="0071192E">
              <w:rPr>
                <w:lang w:val="en-JM"/>
              </w:rPr>
              <w:t xml:space="preserve"> Pass</w:t>
            </w:r>
          </w:p>
        </w:tc>
      </w:tr>
      <w:tr w:rsidR="003951A7" w14:paraId="1B603101" w14:textId="77777777" w:rsidTr="000034E8">
        <w:trPr>
          <w:jc w:val="center"/>
        </w:trPr>
        <w:tc>
          <w:tcPr>
            <w:tcW w:w="2060" w:type="dxa"/>
          </w:tcPr>
          <w:p w14:paraId="1925E23C" w14:textId="77777777" w:rsidR="003951A7" w:rsidRPr="00DF1D99" w:rsidRDefault="003951A7" w:rsidP="000034E8">
            <w:pPr>
              <w:pStyle w:val="MainText"/>
              <w:rPr>
                <w:u w:val="single"/>
              </w:rPr>
            </w:pPr>
            <w:r w:rsidRPr="00DF1D99">
              <w:rPr>
                <w:lang w:val="en-JM"/>
              </w:rPr>
              <w:t>U2</w:t>
            </w:r>
          </w:p>
        </w:tc>
        <w:tc>
          <w:tcPr>
            <w:tcW w:w="2149" w:type="dxa"/>
            <w:gridSpan w:val="3"/>
          </w:tcPr>
          <w:p w14:paraId="5D64E1D3" w14:textId="77777777" w:rsidR="003951A7" w:rsidRDefault="003951A7" w:rsidP="000034E8">
            <w:pPr>
              <w:pStyle w:val="MainText"/>
              <w:rPr>
                <w:u w:val="single"/>
              </w:rPr>
            </w:pPr>
            <w:r w:rsidRPr="0071192E">
              <w:rPr>
                <w:lang w:val="en-JM"/>
              </w:rPr>
              <w:t>Upper Second</w:t>
            </w:r>
          </w:p>
        </w:tc>
        <w:tc>
          <w:tcPr>
            <w:tcW w:w="2029" w:type="dxa"/>
          </w:tcPr>
          <w:p w14:paraId="0238472E" w14:textId="77777777" w:rsidR="003951A7" w:rsidRPr="004F6E68" w:rsidRDefault="003951A7" w:rsidP="000034E8">
            <w:pPr>
              <w:pStyle w:val="MainText"/>
              <w:rPr>
                <w:u w:val="single"/>
              </w:rPr>
            </w:pPr>
            <w:r w:rsidRPr="004F6E68">
              <w:t>MM</w:t>
            </w:r>
          </w:p>
        </w:tc>
        <w:tc>
          <w:tcPr>
            <w:tcW w:w="2058" w:type="dxa"/>
          </w:tcPr>
          <w:p w14:paraId="440F55ED" w14:textId="77777777" w:rsidR="003951A7" w:rsidRDefault="003951A7" w:rsidP="000034E8">
            <w:pPr>
              <w:pStyle w:val="MainText"/>
              <w:rPr>
                <w:u w:val="single"/>
              </w:rPr>
            </w:pPr>
            <w:r>
              <w:rPr>
                <w:lang w:val="en-JM"/>
              </w:rPr>
              <w:t>Masters</w:t>
            </w:r>
            <w:r w:rsidRPr="0071192E">
              <w:rPr>
                <w:lang w:val="en-JM"/>
              </w:rPr>
              <w:t xml:space="preserve"> Merit</w:t>
            </w:r>
          </w:p>
        </w:tc>
      </w:tr>
      <w:tr w:rsidR="003951A7" w14:paraId="736702BE" w14:textId="77777777" w:rsidTr="000034E8">
        <w:trPr>
          <w:jc w:val="center"/>
        </w:trPr>
        <w:tc>
          <w:tcPr>
            <w:tcW w:w="2060" w:type="dxa"/>
          </w:tcPr>
          <w:p w14:paraId="5444BDEB" w14:textId="77777777" w:rsidR="003951A7" w:rsidRPr="00DF1D99" w:rsidRDefault="003951A7" w:rsidP="000034E8">
            <w:pPr>
              <w:pStyle w:val="MainText"/>
              <w:rPr>
                <w:u w:val="single"/>
              </w:rPr>
            </w:pPr>
            <w:r w:rsidRPr="00DF1D99">
              <w:rPr>
                <w:lang w:val="en-JM"/>
              </w:rPr>
              <w:t>L2</w:t>
            </w:r>
          </w:p>
        </w:tc>
        <w:tc>
          <w:tcPr>
            <w:tcW w:w="2149" w:type="dxa"/>
            <w:gridSpan w:val="3"/>
          </w:tcPr>
          <w:p w14:paraId="6C36AFF1" w14:textId="77777777" w:rsidR="003951A7" w:rsidRDefault="003951A7" w:rsidP="000034E8">
            <w:pPr>
              <w:pStyle w:val="MainText"/>
              <w:rPr>
                <w:u w:val="single"/>
              </w:rPr>
            </w:pPr>
            <w:r w:rsidRPr="0071192E">
              <w:rPr>
                <w:lang w:val="en-JM"/>
              </w:rPr>
              <w:t>Lower Second</w:t>
            </w:r>
          </w:p>
        </w:tc>
        <w:tc>
          <w:tcPr>
            <w:tcW w:w="2029" w:type="dxa"/>
          </w:tcPr>
          <w:p w14:paraId="0908AD03" w14:textId="77777777" w:rsidR="003951A7" w:rsidRPr="004F6E68" w:rsidRDefault="003951A7" w:rsidP="000034E8">
            <w:pPr>
              <w:pStyle w:val="MainText"/>
              <w:rPr>
                <w:u w:val="single"/>
              </w:rPr>
            </w:pPr>
            <w:r w:rsidRPr="004F6E68">
              <w:t>MD</w:t>
            </w:r>
          </w:p>
        </w:tc>
        <w:tc>
          <w:tcPr>
            <w:tcW w:w="2058" w:type="dxa"/>
          </w:tcPr>
          <w:p w14:paraId="2CE1F454" w14:textId="77777777" w:rsidR="003951A7" w:rsidRDefault="003951A7" w:rsidP="000034E8">
            <w:pPr>
              <w:pStyle w:val="MainText"/>
              <w:rPr>
                <w:u w:val="single"/>
              </w:rPr>
            </w:pPr>
            <w:r>
              <w:rPr>
                <w:lang w:val="en-JM"/>
              </w:rPr>
              <w:t>Masters</w:t>
            </w:r>
            <w:r w:rsidRPr="0071192E">
              <w:rPr>
                <w:lang w:val="en-JM"/>
              </w:rPr>
              <w:t xml:space="preserve"> Distinction</w:t>
            </w:r>
          </w:p>
        </w:tc>
      </w:tr>
      <w:tr w:rsidR="003951A7" w14:paraId="65038670" w14:textId="77777777" w:rsidTr="000034E8">
        <w:trPr>
          <w:jc w:val="center"/>
        </w:trPr>
        <w:tc>
          <w:tcPr>
            <w:tcW w:w="2060" w:type="dxa"/>
          </w:tcPr>
          <w:p w14:paraId="51E1371F" w14:textId="77777777" w:rsidR="003951A7" w:rsidRPr="00DF1D99" w:rsidRDefault="003951A7" w:rsidP="000034E8">
            <w:pPr>
              <w:pStyle w:val="MainText"/>
              <w:rPr>
                <w:u w:val="single"/>
              </w:rPr>
            </w:pPr>
            <w:r w:rsidRPr="00DF1D99">
              <w:rPr>
                <w:lang w:val="en-JM"/>
              </w:rPr>
              <w:t>3</w:t>
            </w:r>
          </w:p>
        </w:tc>
        <w:tc>
          <w:tcPr>
            <w:tcW w:w="2149" w:type="dxa"/>
            <w:gridSpan w:val="3"/>
          </w:tcPr>
          <w:p w14:paraId="480C8318" w14:textId="77777777" w:rsidR="003951A7" w:rsidRDefault="003951A7" w:rsidP="000034E8">
            <w:pPr>
              <w:pStyle w:val="MainText"/>
              <w:rPr>
                <w:u w:val="single"/>
              </w:rPr>
            </w:pPr>
            <w:r w:rsidRPr="0071192E">
              <w:rPr>
                <w:lang w:val="en-JM"/>
              </w:rPr>
              <w:t>Third</w:t>
            </w:r>
          </w:p>
        </w:tc>
        <w:tc>
          <w:tcPr>
            <w:tcW w:w="2029" w:type="dxa"/>
          </w:tcPr>
          <w:p w14:paraId="230DF99A" w14:textId="77777777" w:rsidR="003951A7" w:rsidRDefault="003951A7" w:rsidP="000034E8">
            <w:pPr>
              <w:pStyle w:val="MainText"/>
              <w:rPr>
                <w:u w:val="single"/>
              </w:rPr>
            </w:pPr>
          </w:p>
        </w:tc>
        <w:tc>
          <w:tcPr>
            <w:tcW w:w="2058" w:type="dxa"/>
          </w:tcPr>
          <w:p w14:paraId="6A2D402A" w14:textId="77777777" w:rsidR="003951A7" w:rsidRDefault="003951A7" w:rsidP="000034E8">
            <w:pPr>
              <w:pStyle w:val="MainText"/>
              <w:rPr>
                <w:u w:val="single"/>
              </w:rPr>
            </w:pPr>
          </w:p>
        </w:tc>
      </w:tr>
    </w:tbl>
    <w:p w14:paraId="53496834" w14:textId="77777777" w:rsidR="003951A7" w:rsidRPr="0071192E" w:rsidRDefault="003951A7" w:rsidP="003951A7">
      <w:pPr>
        <w:pStyle w:val="MainText"/>
        <w:rPr>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88"/>
        <w:gridCol w:w="6684"/>
      </w:tblGrid>
      <w:tr w:rsidR="003951A7" w:rsidRPr="00520419" w14:paraId="317C2752" w14:textId="77777777" w:rsidTr="000034E8">
        <w:trPr>
          <w:trHeight w:val="286"/>
        </w:trPr>
        <w:tc>
          <w:tcPr>
            <w:tcW w:w="8472" w:type="dxa"/>
            <w:gridSpan w:val="2"/>
            <w:shd w:val="clear" w:color="auto" w:fill="1F3864" w:themeFill="accent5" w:themeFillShade="80"/>
          </w:tcPr>
          <w:p w14:paraId="422F73D9" w14:textId="77777777" w:rsidR="003951A7" w:rsidRPr="00520419" w:rsidRDefault="003951A7" w:rsidP="000034E8">
            <w:pPr>
              <w:pStyle w:val="MainText"/>
              <w:rPr>
                <w:b/>
                <w:lang w:val="en-JM"/>
              </w:rPr>
            </w:pPr>
            <w:r w:rsidRPr="00520419">
              <w:rPr>
                <w:b/>
              </w:rPr>
              <w:t>TYPES OF CREDIT GAINED</w:t>
            </w:r>
          </w:p>
        </w:tc>
      </w:tr>
      <w:tr w:rsidR="003951A7" w:rsidRPr="00783E19" w14:paraId="305B3C6D" w14:textId="77777777" w:rsidTr="000034E8">
        <w:tc>
          <w:tcPr>
            <w:tcW w:w="1788" w:type="dxa"/>
          </w:tcPr>
          <w:p w14:paraId="02FD4651" w14:textId="77777777" w:rsidR="003951A7" w:rsidRPr="00783E19" w:rsidRDefault="003951A7" w:rsidP="000034E8">
            <w:pPr>
              <w:pStyle w:val="MainText"/>
            </w:pPr>
            <w:r w:rsidRPr="00783E19">
              <w:t>120</w:t>
            </w:r>
          </w:p>
        </w:tc>
        <w:tc>
          <w:tcPr>
            <w:tcW w:w="6684" w:type="dxa"/>
          </w:tcPr>
          <w:p w14:paraId="497F3684" w14:textId="77777777" w:rsidR="003951A7" w:rsidRPr="00783E19" w:rsidRDefault="003951A7" w:rsidP="000034E8">
            <w:pPr>
              <w:pStyle w:val="MainText"/>
            </w:pPr>
            <w:r w:rsidRPr="00783E19">
              <w:t>Standard credit gained normally</w:t>
            </w:r>
          </w:p>
        </w:tc>
      </w:tr>
      <w:tr w:rsidR="003951A7" w:rsidRPr="00783E19" w14:paraId="5423F5E0" w14:textId="77777777" w:rsidTr="000034E8">
        <w:tc>
          <w:tcPr>
            <w:tcW w:w="1788" w:type="dxa"/>
          </w:tcPr>
          <w:p w14:paraId="3729DD3E" w14:textId="77777777" w:rsidR="003951A7" w:rsidRPr="00783E19" w:rsidRDefault="003951A7" w:rsidP="000034E8">
            <w:pPr>
              <w:pStyle w:val="MainText"/>
            </w:pPr>
            <w:r w:rsidRPr="00783E19">
              <w:t>40(AL/AEL)</w:t>
            </w:r>
          </w:p>
        </w:tc>
        <w:tc>
          <w:tcPr>
            <w:tcW w:w="6684" w:type="dxa"/>
          </w:tcPr>
          <w:p w14:paraId="5C195D7A" w14:textId="77777777" w:rsidR="003951A7" w:rsidRPr="00783E19" w:rsidRDefault="003951A7" w:rsidP="000034E8">
            <w:pPr>
              <w:pStyle w:val="MainText"/>
            </w:pPr>
            <w:r w:rsidRPr="00783E19">
              <w:t>Standard credit gained by means of AL or AEL</w:t>
            </w:r>
          </w:p>
        </w:tc>
      </w:tr>
      <w:tr w:rsidR="003951A7" w:rsidRPr="00783E19" w14:paraId="2104A867" w14:textId="77777777" w:rsidTr="000034E8">
        <w:tc>
          <w:tcPr>
            <w:tcW w:w="1788" w:type="dxa"/>
          </w:tcPr>
          <w:p w14:paraId="029C6314" w14:textId="77777777" w:rsidR="003951A7" w:rsidRPr="00783E19" w:rsidRDefault="003951A7" w:rsidP="000034E8">
            <w:pPr>
              <w:pStyle w:val="MainText"/>
            </w:pPr>
            <w:r w:rsidRPr="00783E19">
              <w:t>20(Exc)</w:t>
            </w:r>
          </w:p>
        </w:tc>
        <w:tc>
          <w:tcPr>
            <w:tcW w:w="6684" w:type="dxa"/>
          </w:tcPr>
          <w:p w14:paraId="44919B6E" w14:textId="77777777" w:rsidR="003951A7" w:rsidRPr="00783E19" w:rsidRDefault="003951A7" w:rsidP="000034E8">
            <w:pPr>
              <w:pStyle w:val="MainText"/>
            </w:pPr>
            <w:r w:rsidRPr="00783E19">
              <w:t xml:space="preserve">Standard credit not gained but “excused” for award purposes as a result of </w:t>
            </w:r>
            <w:r>
              <w:t>personal circumstances</w:t>
            </w:r>
          </w:p>
        </w:tc>
      </w:tr>
      <w:tr w:rsidR="003951A7" w:rsidRPr="00783E19" w14:paraId="69BBA1C5" w14:textId="77777777" w:rsidTr="000034E8">
        <w:tc>
          <w:tcPr>
            <w:tcW w:w="1788" w:type="dxa"/>
          </w:tcPr>
          <w:p w14:paraId="4ABD2EF1" w14:textId="77777777" w:rsidR="003951A7" w:rsidRPr="00783E19" w:rsidRDefault="003951A7" w:rsidP="000034E8">
            <w:pPr>
              <w:pStyle w:val="MainText"/>
            </w:pPr>
            <w:r w:rsidRPr="00783E19">
              <w:t>140(NA)</w:t>
            </w:r>
          </w:p>
        </w:tc>
        <w:tc>
          <w:tcPr>
            <w:tcW w:w="6684" w:type="dxa"/>
          </w:tcPr>
          <w:p w14:paraId="56BE9DE1" w14:textId="77777777" w:rsidR="003951A7" w:rsidRPr="00783E19" w:rsidRDefault="003951A7" w:rsidP="000034E8">
            <w:pPr>
              <w:pStyle w:val="MainText"/>
            </w:pPr>
            <w:r w:rsidRPr="00783E19">
              <w:t>Standard credit attempted but not achieved (failed or referred)</w:t>
            </w:r>
          </w:p>
        </w:tc>
      </w:tr>
      <w:tr w:rsidR="003951A7" w:rsidRPr="00783E19" w14:paraId="0C34F3F6" w14:textId="77777777" w:rsidTr="000034E8">
        <w:tc>
          <w:tcPr>
            <w:tcW w:w="1788" w:type="dxa"/>
          </w:tcPr>
          <w:p w14:paraId="5E39E505" w14:textId="77777777" w:rsidR="003951A7" w:rsidRPr="00783E19" w:rsidRDefault="003951A7" w:rsidP="000034E8">
            <w:pPr>
              <w:pStyle w:val="MainText"/>
            </w:pPr>
            <w:r w:rsidRPr="00783E19">
              <w:t>20(NC)</w:t>
            </w:r>
          </w:p>
        </w:tc>
        <w:tc>
          <w:tcPr>
            <w:tcW w:w="6684" w:type="dxa"/>
          </w:tcPr>
          <w:p w14:paraId="6E13E494" w14:textId="77777777" w:rsidR="003951A7" w:rsidRPr="00783E19" w:rsidRDefault="003951A7" w:rsidP="000034E8">
            <w:pPr>
              <w:pStyle w:val="MainText"/>
            </w:pPr>
            <w:r w:rsidRPr="00783E19">
              <w:t>Non-counting credit</w:t>
            </w:r>
          </w:p>
        </w:tc>
      </w:tr>
    </w:tbl>
    <w:p w14:paraId="667FD0F3" w14:textId="77777777" w:rsidR="003951A7" w:rsidRDefault="003951A7" w:rsidP="003951A7">
      <w:pPr>
        <w:rPr>
          <w:sz w:val="20"/>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472"/>
      </w:tblGrid>
      <w:tr w:rsidR="003951A7" w:rsidRPr="003635FB" w14:paraId="53696F87" w14:textId="77777777" w:rsidTr="000034E8">
        <w:trPr>
          <w:trHeight w:val="286"/>
        </w:trPr>
        <w:tc>
          <w:tcPr>
            <w:tcW w:w="8472" w:type="dxa"/>
            <w:shd w:val="clear" w:color="auto" w:fill="1F3864" w:themeFill="accent5" w:themeFillShade="80"/>
          </w:tcPr>
          <w:p w14:paraId="507FD70A" w14:textId="77777777" w:rsidR="003951A7" w:rsidRPr="00486276" w:rsidRDefault="003951A7" w:rsidP="000034E8">
            <w:pPr>
              <w:rPr>
                <w:b/>
                <w:color w:val="FFFFFF" w:themeColor="background1"/>
                <w:lang w:val="en-JM"/>
              </w:rPr>
            </w:pPr>
            <w:r>
              <w:rPr>
                <w:b/>
                <w:color w:val="FFFFFF" w:themeColor="background1"/>
              </w:rPr>
              <w:t>CAPPING AND ASTERIXES</w:t>
            </w:r>
          </w:p>
        </w:tc>
      </w:tr>
    </w:tbl>
    <w:p w14:paraId="0EE8602B" w14:textId="77777777" w:rsidR="003951A7" w:rsidRDefault="003951A7" w:rsidP="003951A7">
      <w:pPr>
        <w:rPr>
          <w:sz w:val="20"/>
          <w:lang w:eastAsia="en-GB"/>
        </w:rPr>
      </w:pPr>
    </w:p>
    <w:p w14:paraId="5A2FE341" w14:textId="77777777" w:rsidR="003951A7" w:rsidRDefault="003951A7" w:rsidP="003951A7">
      <w:pPr>
        <w:rPr>
          <w:sz w:val="20"/>
          <w:lang w:eastAsia="en-GB"/>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tblGrid>
      <w:tr w:rsidR="003951A7" w:rsidRPr="00DD5586" w14:paraId="5357D089" w14:textId="77777777" w:rsidTr="000034E8">
        <w:trPr>
          <w:trHeight w:val="136"/>
        </w:trPr>
        <w:tc>
          <w:tcPr>
            <w:tcW w:w="1680" w:type="dxa"/>
          </w:tcPr>
          <w:p w14:paraId="7A2E0A8E" w14:textId="77777777" w:rsidR="003951A7" w:rsidRPr="00DD5586" w:rsidRDefault="003951A7" w:rsidP="000034E8">
            <w:pPr>
              <w:pStyle w:val="MainText"/>
              <w:rPr>
                <w:lang w:val="en-JM" w:eastAsia="en-GB"/>
              </w:rPr>
            </w:pPr>
            <w:r w:rsidRPr="008C10D4">
              <w:rPr>
                <w:highlight w:val="lightGray"/>
                <w:lang w:val="en-JM" w:eastAsia="en-GB"/>
              </w:rPr>
              <w:t>USSJBA-10-M</w:t>
            </w:r>
          </w:p>
        </w:tc>
      </w:tr>
      <w:tr w:rsidR="003951A7" w:rsidRPr="00DD5586" w14:paraId="627F9910" w14:textId="77777777" w:rsidTr="000034E8">
        <w:trPr>
          <w:trHeight w:val="167"/>
        </w:trPr>
        <w:tc>
          <w:tcPr>
            <w:tcW w:w="1680" w:type="dxa"/>
          </w:tcPr>
          <w:p w14:paraId="6AE807C9" w14:textId="77777777" w:rsidR="003951A7" w:rsidRPr="00DD5586" w:rsidRDefault="003951A7" w:rsidP="000034E8">
            <w:pPr>
              <w:pStyle w:val="MainText"/>
              <w:rPr>
                <w:lang w:val="en-JM" w:eastAsia="en-GB"/>
              </w:rPr>
            </w:pPr>
            <w:r w:rsidRPr="00DD5586">
              <w:rPr>
                <w:lang w:val="en-JM" w:eastAsia="en-GB"/>
              </w:rPr>
              <w:t>RES METH</w:t>
            </w:r>
          </w:p>
        </w:tc>
      </w:tr>
      <w:tr w:rsidR="003951A7" w:rsidRPr="00DD5586" w14:paraId="654D4F68" w14:textId="77777777" w:rsidTr="000034E8">
        <w:trPr>
          <w:trHeight w:val="92"/>
        </w:trPr>
        <w:tc>
          <w:tcPr>
            <w:tcW w:w="1680" w:type="dxa"/>
          </w:tcPr>
          <w:p w14:paraId="541FDC25" w14:textId="77777777" w:rsidR="003951A7" w:rsidRPr="00DD5586" w:rsidRDefault="003951A7" w:rsidP="000034E8">
            <w:pPr>
              <w:pStyle w:val="MainText"/>
              <w:rPr>
                <w:lang w:val="en-JM" w:eastAsia="en-GB"/>
              </w:rPr>
            </w:pPr>
            <w:r w:rsidRPr="00DD5586">
              <w:rPr>
                <w:lang w:val="en-JM" w:eastAsia="en-GB"/>
              </w:rPr>
              <w:t>45</w:t>
            </w:r>
          </w:p>
        </w:tc>
      </w:tr>
      <w:tr w:rsidR="003951A7" w:rsidRPr="00DD5586" w14:paraId="3C632F24" w14:textId="77777777" w:rsidTr="000034E8">
        <w:trPr>
          <w:trHeight w:val="85"/>
        </w:trPr>
        <w:tc>
          <w:tcPr>
            <w:tcW w:w="1680" w:type="dxa"/>
          </w:tcPr>
          <w:p w14:paraId="61EC2C0F" w14:textId="77777777" w:rsidR="003951A7" w:rsidRPr="00DD5586" w:rsidRDefault="003951A7" w:rsidP="000034E8">
            <w:pPr>
              <w:pStyle w:val="MainText"/>
              <w:rPr>
                <w:lang w:val="en-JM" w:eastAsia="en-GB"/>
              </w:rPr>
            </w:pPr>
          </w:p>
        </w:tc>
      </w:tr>
      <w:tr w:rsidR="003951A7" w:rsidRPr="00DD5586" w14:paraId="57729A41" w14:textId="77777777" w:rsidTr="000034E8">
        <w:trPr>
          <w:trHeight w:val="165"/>
        </w:trPr>
        <w:tc>
          <w:tcPr>
            <w:tcW w:w="1680" w:type="dxa"/>
          </w:tcPr>
          <w:p w14:paraId="44143CF0" w14:textId="77777777" w:rsidR="003951A7" w:rsidRPr="00DD5586" w:rsidRDefault="003951A7" w:rsidP="000034E8">
            <w:pPr>
              <w:pStyle w:val="MainText"/>
              <w:rPr>
                <w:lang w:val="en-JM" w:eastAsia="en-GB"/>
              </w:rPr>
            </w:pPr>
            <w:r w:rsidRPr="00DD5586">
              <w:rPr>
                <w:lang w:val="en-JM" w:eastAsia="en-GB"/>
              </w:rPr>
              <w:t>45(ECA)*</w:t>
            </w:r>
          </w:p>
        </w:tc>
      </w:tr>
      <w:tr w:rsidR="003951A7" w:rsidRPr="00DD5586" w14:paraId="77CBB46A" w14:textId="77777777" w:rsidTr="000034E8">
        <w:trPr>
          <w:trHeight w:val="255"/>
        </w:trPr>
        <w:tc>
          <w:tcPr>
            <w:tcW w:w="1680" w:type="dxa"/>
          </w:tcPr>
          <w:p w14:paraId="62948C00" w14:textId="77777777" w:rsidR="003951A7" w:rsidRPr="00DD5586" w:rsidRDefault="003951A7" w:rsidP="000034E8">
            <w:pPr>
              <w:pStyle w:val="MainText"/>
              <w:rPr>
                <w:lang w:val="en-JM" w:eastAsia="en-GB"/>
              </w:rPr>
            </w:pPr>
            <w:r w:rsidRPr="00DD5586">
              <w:rPr>
                <w:lang w:val="en-JM" w:eastAsia="en-GB"/>
              </w:rPr>
              <w:t>1F</w:t>
            </w:r>
          </w:p>
        </w:tc>
      </w:tr>
    </w:tbl>
    <w:p w14:paraId="5CD52D3C" w14:textId="77777777" w:rsidR="003951A7" w:rsidRDefault="003951A7" w:rsidP="003951A7">
      <w:pPr>
        <w:rPr>
          <w:sz w:val="20"/>
          <w:lang w:eastAsia="en-GB"/>
        </w:rPr>
      </w:pPr>
      <w:r>
        <w:rPr>
          <w:noProof/>
          <w:sz w:val="20"/>
          <w:lang w:eastAsia="en-GB"/>
        </w:rPr>
        <mc:AlternateContent>
          <mc:Choice Requires="wps">
            <w:drawing>
              <wp:anchor distT="0" distB="0" distL="114300" distR="114300" simplePos="0" relativeHeight="251671552" behindDoc="0" locked="0" layoutInCell="1" allowOverlap="1" wp14:anchorId="115BAE01" wp14:editId="052F1DC8">
                <wp:simplePos x="0" y="0"/>
                <wp:positionH relativeFrom="column">
                  <wp:posOffset>1348740</wp:posOffset>
                </wp:positionH>
                <wp:positionV relativeFrom="paragraph">
                  <wp:posOffset>29211</wp:posOffset>
                </wp:positionV>
                <wp:extent cx="3962400" cy="723900"/>
                <wp:effectExtent l="0" t="0" r="19050" b="1905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723900"/>
                        </a:xfrm>
                        <a:prstGeom prst="rect">
                          <a:avLst/>
                        </a:prstGeom>
                        <a:solidFill>
                          <a:srgbClr val="FFFFFF"/>
                        </a:solidFill>
                        <a:ln w="9525">
                          <a:solidFill>
                            <a:srgbClr val="000000"/>
                          </a:solidFill>
                          <a:miter lim="800000"/>
                          <a:headEnd/>
                          <a:tailEnd/>
                        </a:ln>
                      </wps:spPr>
                      <wps:txbx>
                        <w:txbxContent>
                          <w:p w14:paraId="6858131E" w14:textId="77777777" w:rsidR="005E553F" w:rsidRPr="00A25CF6" w:rsidRDefault="005E553F" w:rsidP="003951A7">
                            <w:pPr>
                              <w:pStyle w:val="MainText"/>
                            </w:pPr>
                            <w:r w:rsidRPr="00BD55ED">
                              <w:t xml:space="preserve">This mark has been capped from a previous board, but has still not </w:t>
                            </w:r>
                            <w:r>
                              <w:t xml:space="preserve">been </w:t>
                            </w:r>
                            <w:r w:rsidRPr="00BD55ED">
                              <w:t xml:space="preserve">passed.  </w:t>
                            </w:r>
                            <w:r>
                              <w:t xml:space="preserve">Personal </w:t>
                            </w:r>
                            <w:r w:rsidRPr="00BD55ED">
                              <w:t>Circumstances have been submitted and accepted for this</w:t>
                            </w:r>
                            <w:r>
                              <w:t xml:space="preserve"> </w:t>
                            </w:r>
                            <w:r w:rsidRPr="00BD55ED">
                              <w:t>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AE01" id="Text Box 109" o:spid="_x0000_s1031" type="#_x0000_t202" style="position:absolute;margin-left:106.2pt;margin-top:2.3pt;width:312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2zLQIAAFk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">
                <v:textbox>
                  <w:txbxContent>
                    <w:p w14:paraId="6858131E" w14:textId="77777777" w:rsidR="005E553F" w:rsidRPr="00A25CF6" w:rsidRDefault="005E553F" w:rsidP="003951A7">
                      <w:pPr>
                        <w:pStyle w:val="MainText"/>
                      </w:pPr>
                      <w:r w:rsidRPr="00BD55ED">
                        <w:t xml:space="preserve">This mark has been capped from a previous board, but has still not </w:t>
                      </w:r>
                      <w:r>
                        <w:t xml:space="preserve">been </w:t>
                      </w:r>
                      <w:r w:rsidRPr="00BD55ED">
                        <w:t xml:space="preserve">passed.  </w:t>
                      </w:r>
                      <w:r>
                        <w:t xml:space="preserve">Personal </w:t>
                      </w:r>
                      <w:r w:rsidRPr="00BD55ED">
                        <w:t>Circumstances have been submitted and accepted for this</w:t>
                      </w:r>
                      <w:r>
                        <w:t xml:space="preserve"> </w:t>
                      </w:r>
                      <w:r w:rsidRPr="00BD55ED">
                        <w:t>opportunity</w:t>
                      </w:r>
                    </w:p>
                  </w:txbxContent>
                </v:textbox>
              </v:shape>
            </w:pict>
          </mc:Fallback>
        </mc:AlternateContent>
      </w:r>
    </w:p>
    <w:p w14:paraId="793531D5" w14:textId="77777777" w:rsidR="003951A7" w:rsidRDefault="003951A7" w:rsidP="003951A7">
      <w:pPr>
        <w:rPr>
          <w:sz w:val="20"/>
          <w:lang w:eastAsia="en-GB"/>
        </w:rPr>
      </w:pPr>
    </w:p>
    <w:p w14:paraId="08C5ACD2" w14:textId="77777777" w:rsidR="003951A7" w:rsidRDefault="003951A7" w:rsidP="003951A7">
      <w:pPr>
        <w:rPr>
          <w:sz w:val="20"/>
          <w:lang w:eastAsia="en-GB"/>
        </w:rPr>
      </w:pPr>
    </w:p>
    <w:p w14:paraId="2283B242" w14:textId="77777777" w:rsidR="003951A7" w:rsidRDefault="003951A7" w:rsidP="003951A7">
      <w:pPr>
        <w:rPr>
          <w:sz w:val="20"/>
          <w:lang w:eastAsia="en-GB"/>
        </w:rPr>
      </w:pPr>
    </w:p>
    <w:p w14:paraId="315A49C5" w14:textId="77777777" w:rsidR="003951A7" w:rsidRDefault="003951A7" w:rsidP="003951A7">
      <w:pPr>
        <w:rPr>
          <w:sz w:val="20"/>
          <w:lang w:eastAsia="en-GB"/>
        </w:rPr>
      </w:pPr>
    </w:p>
    <w:p w14:paraId="6FCCE274" w14:textId="77777777" w:rsidR="003951A7" w:rsidRDefault="003951A7" w:rsidP="003951A7">
      <w:pPr>
        <w:rPr>
          <w:sz w:val="20"/>
          <w:lang w:eastAsia="en-GB"/>
        </w:rPr>
      </w:pPr>
    </w:p>
    <w:p w14:paraId="22187ED1" w14:textId="77777777" w:rsidR="003951A7" w:rsidRDefault="003951A7" w:rsidP="003951A7">
      <w:pPr>
        <w:rPr>
          <w:sz w:val="20"/>
          <w:lang w:eastAsia="en-GB"/>
        </w:rPr>
      </w:pPr>
    </w:p>
    <w:p w14:paraId="20C5E960" w14:textId="77777777" w:rsidR="003951A7" w:rsidRDefault="003951A7" w:rsidP="003951A7">
      <w:pPr>
        <w:rPr>
          <w:sz w:val="20"/>
          <w:lang w:eastAsia="en-GB"/>
        </w:rPr>
      </w:pPr>
    </w:p>
    <w:p w14:paraId="6396CC5C" w14:textId="77777777" w:rsidR="003951A7" w:rsidRDefault="003951A7" w:rsidP="003951A7">
      <w:pPr>
        <w:rPr>
          <w:sz w:val="20"/>
          <w:lang w:eastAsia="en-GB"/>
        </w:rPr>
      </w:pPr>
    </w:p>
    <w:p w14:paraId="2B2AC003" w14:textId="77777777" w:rsidR="003951A7" w:rsidRDefault="003951A7" w:rsidP="003951A7">
      <w:r>
        <w:br w:type="page"/>
      </w:r>
    </w:p>
    <w:tbl>
      <w:tblPr>
        <w:tblpPr w:leftFromText="180" w:rightFromText="180"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tblGrid>
      <w:tr w:rsidR="003951A7" w:rsidRPr="00DD5586" w14:paraId="1A565263" w14:textId="77777777" w:rsidTr="000034E8">
        <w:trPr>
          <w:trHeight w:val="136"/>
        </w:trPr>
        <w:tc>
          <w:tcPr>
            <w:tcW w:w="1680" w:type="dxa"/>
          </w:tcPr>
          <w:p w14:paraId="2214FDB8" w14:textId="77777777" w:rsidR="003951A7" w:rsidRPr="00DD5586" w:rsidRDefault="003951A7" w:rsidP="000034E8">
            <w:pPr>
              <w:pStyle w:val="MainText"/>
              <w:rPr>
                <w:lang w:val="en-JM" w:eastAsia="en-GB"/>
              </w:rPr>
            </w:pPr>
            <w:r w:rsidRPr="00DD5586">
              <w:rPr>
                <w:lang w:val="en-JM" w:eastAsia="en-GB"/>
              </w:rPr>
              <w:lastRenderedPageBreak/>
              <w:t xml:space="preserve"> </w:t>
            </w:r>
            <w:r w:rsidRPr="008C10D4">
              <w:rPr>
                <w:highlight w:val="lightGray"/>
                <w:lang w:val="en-JM" w:eastAsia="en-GB"/>
              </w:rPr>
              <w:t>USPJCL-20-1</w:t>
            </w:r>
            <w:r w:rsidRPr="00DD5586">
              <w:rPr>
                <w:lang w:val="en-JM" w:eastAsia="en-GB"/>
              </w:rPr>
              <w:t xml:space="preserve">  </w:t>
            </w:r>
          </w:p>
        </w:tc>
      </w:tr>
      <w:tr w:rsidR="003951A7" w:rsidRPr="00DD5586" w14:paraId="2556D317" w14:textId="77777777" w:rsidTr="000034E8">
        <w:trPr>
          <w:trHeight w:val="167"/>
        </w:trPr>
        <w:tc>
          <w:tcPr>
            <w:tcW w:w="1680" w:type="dxa"/>
          </w:tcPr>
          <w:p w14:paraId="7CA371EF" w14:textId="77777777" w:rsidR="003951A7" w:rsidRPr="00DD5586" w:rsidRDefault="003951A7" w:rsidP="000034E8">
            <w:pPr>
              <w:pStyle w:val="MainText"/>
              <w:rPr>
                <w:lang w:val="en-JM" w:eastAsia="en-GB"/>
              </w:rPr>
            </w:pPr>
            <w:r w:rsidRPr="00DD5586">
              <w:rPr>
                <w:lang w:val="en-JM" w:eastAsia="en-GB"/>
              </w:rPr>
              <w:t>RDM1</w:t>
            </w:r>
          </w:p>
        </w:tc>
      </w:tr>
      <w:tr w:rsidR="003951A7" w:rsidRPr="00DD5586" w14:paraId="2F078735" w14:textId="77777777" w:rsidTr="000034E8">
        <w:trPr>
          <w:trHeight w:val="92"/>
        </w:trPr>
        <w:tc>
          <w:tcPr>
            <w:tcW w:w="1680" w:type="dxa"/>
          </w:tcPr>
          <w:p w14:paraId="0EECD72D" w14:textId="77777777" w:rsidR="003951A7" w:rsidRPr="00DD5586" w:rsidRDefault="003951A7" w:rsidP="000034E8">
            <w:pPr>
              <w:pStyle w:val="MainText"/>
              <w:rPr>
                <w:lang w:val="en-JM" w:eastAsia="en-GB"/>
              </w:rPr>
            </w:pPr>
            <w:r w:rsidRPr="00DD5586">
              <w:rPr>
                <w:lang w:val="en-JM" w:eastAsia="en-GB"/>
              </w:rPr>
              <w:t>44</w:t>
            </w:r>
          </w:p>
        </w:tc>
      </w:tr>
      <w:tr w:rsidR="003951A7" w:rsidRPr="00DD5586" w14:paraId="3785DFBE" w14:textId="77777777" w:rsidTr="000034E8">
        <w:trPr>
          <w:trHeight w:val="85"/>
        </w:trPr>
        <w:tc>
          <w:tcPr>
            <w:tcW w:w="1680" w:type="dxa"/>
          </w:tcPr>
          <w:p w14:paraId="4EDAB606" w14:textId="77777777" w:rsidR="003951A7" w:rsidRPr="00DD5586" w:rsidRDefault="003951A7" w:rsidP="000034E8">
            <w:pPr>
              <w:pStyle w:val="MainText"/>
              <w:rPr>
                <w:lang w:val="en-JM" w:eastAsia="en-GB"/>
              </w:rPr>
            </w:pPr>
            <w:r w:rsidRPr="00DD5586">
              <w:rPr>
                <w:lang w:val="en-JM" w:eastAsia="en-GB"/>
              </w:rPr>
              <w:t>35*</w:t>
            </w:r>
          </w:p>
        </w:tc>
      </w:tr>
      <w:tr w:rsidR="003951A7" w:rsidRPr="00DD5586" w14:paraId="69E81348" w14:textId="77777777" w:rsidTr="000034E8">
        <w:trPr>
          <w:trHeight w:val="165"/>
        </w:trPr>
        <w:tc>
          <w:tcPr>
            <w:tcW w:w="1680" w:type="dxa"/>
          </w:tcPr>
          <w:p w14:paraId="25E55484" w14:textId="77777777" w:rsidR="003951A7" w:rsidRPr="00DD5586" w:rsidRDefault="003951A7" w:rsidP="000034E8">
            <w:pPr>
              <w:pStyle w:val="MainText"/>
              <w:rPr>
                <w:lang w:val="en-JM" w:eastAsia="en-GB"/>
              </w:rPr>
            </w:pPr>
            <w:r w:rsidRPr="00DD5586">
              <w:rPr>
                <w:lang w:val="en-JM" w:eastAsia="en-GB"/>
              </w:rPr>
              <w:t>39</w:t>
            </w:r>
          </w:p>
        </w:tc>
      </w:tr>
      <w:tr w:rsidR="003951A7" w:rsidRPr="00DD5586" w14:paraId="2485ED45" w14:textId="77777777" w:rsidTr="000034E8">
        <w:trPr>
          <w:trHeight w:val="255"/>
        </w:trPr>
        <w:tc>
          <w:tcPr>
            <w:tcW w:w="1680" w:type="dxa"/>
          </w:tcPr>
          <w:p w14:paraId="0738AE5D" w14:textId="77777777" w:rsidR="003951A7" w:rsidRPr="00DD5586" w:rsidRDefault="003951A7" w:rsidP="000034E8">
            <w:pPr>
              <w:pStyle w:val="MainText"/>
              <w:rPr>
                <w:lang w:val="en-JM" w:eastAsia="en-GB"/>
              </w:rPr>
            </w:pPr>
            <w:r w:rsidRPr="00DD5586">
              <w:rPr>
                <w:lang w:val="en-JM" w:eastAsia="en-GB"/>
              </w:rPr>
              <w:t>1F</w:t>
            </w:r>
          </w:p>
        </w:tc>
      </w:tr>
    </w:tbl>
    <w:p w14:paraId="40EC2E7B" w14:textId="77777777" w:rsidR="003951A7" w:rsidRDefault="003951A7" w:rsidP="003951A7">
      <w:pPr>
        <w:pStyle w:val="MainText"/>
        <w:rPr>
          <w:lang w:eastAsia="en-GB"/>
        </w:rPr>
      </w:pPr>
      <w:r>
        <w:rPr>
          <w:noProof/>
          <w:lang w:eastAsia="en-GB"/>
        </w:rPr>
        <mc:AlternateContent>
          <mc:Choice Requires="wps">
            <w:drawing>
              <wp:anchor distT="0" distB="0" distL="114300" distR="114300" simplePos="0" relativeHeight="251672576" behindDoc="0" locked="0" layoutInCell="1" allowOverlap="1" wp14:anchorId="7B9624B8" wp14:editId="4A0BA758">
                <wp:simplePos x="0" y="0"/>
                <wp:positionH relativeFrom="column">
                  <wp:posOffset>1348740</wp:posOffset>
                </wp:positionH>
                <wp:positionV relativeFrom="paragraph">
                  <wp:posOffset>41910</wp:posOffset>
                </wp:positionV>
                <wp:extent cx="4023360" cy="792480"/>
                <wp:effectExtent l="0" t="0" r="15240" b="26670"/>
                <wp:wrapNone/>
                <wp:docPr id="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92480"/>
                        </a:xfrm>
                        <a:prstGeom prst="rect">
                          <a:avLst/>
                        </a:prstGeom>
                        <a:solidFill>
                          <a:srgbClr val="FFFFFF"/>
                        </a:solidFill>
                        <a:ln w="9525">
                          <a:solidFill>
                            <a:srgbClr val="000000"/>
                          </a:solidFill>
                          <a:miter lim="800000"/>
                          <a:headEnd/>
                          <a:tailEnd/>
                        </a:ln>
                      </wps:spPr>
                      <wps:txbx>
                        <w:txbxContent>
                          <w:p w14:paraId="286B5104" w14:textId="77777777" w:rsidR="005E553F" w:rsidRPr="00BD55ED" w:rsidRDefault="005E553F" w:rsidP="003951A7">
                            <w:pPr>
                              <w:pStyle w:val="MainText"/>
                            </w:pPr>
                            <w:r w:rsidRPr="00BD55ED">
                              <w:t>This is a resit attempt - This module would have partial capping from the previous board, if the student had passed.  The weighting of the</w:t>
                            </w:r>
                            <w:r>
                              <w:t xml:space="preserve"> </w:t>
                            </w:r>
                            <w:r w:rsidRPr="00BD55ED">
                              <w:t>components is A:40 B:60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24B8" id="Text Box 110" o:spid="_x0000_s1032" type="#_x0000_t202" style="position:absolute;margin-left:106.2pt;margin-top:3.3pt;width:316.8pt;height:6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">
                <v:textbox>
                  <w:txbxContent>
                    <w:p w14:paraId="286B5104" w14:textId="77777777" w:rsidR="005E553F" w:rsidRPr="00BD55ED" w:rsidRDefault="005E553F" w:rsidP="003951A7">
                      <w:pPr>
                        <w:pStyle w:val="MainText"/>
                      </w:pPr>
                      <w:r w:rsidRPr="00BD55ED">
                        <w:t>This is a resit attempt - This module would have partial capping from the previous board, if the student had passed.  The weighting of the</w:t>
                      </w:r>
                      <w:r>
                        <w:t xml:space="preserve"> </w:t>
                      </w:r>
                      <w:r w:rsidRPr="00BD55ED">
                        <w:t>components is A:40 B:60</w:t>
                      </w:r>
                    </w:p>
                  </w:txbxContent>
                </v:textbox>
              </v:shape>
            </w:pict>
          </mc:Fallback>
        </mc:AlternateContent>
      </w:r>
    </w:p>
    <w:p w14:paraId="3FC00A49" w14:textId="77777777" w:rsidR="003951A7" w:rsidRDefault="003951A7" w:rsidP="003951A7">
      <w:pPr>
        <w:pStyle w:val="MainText"/>
        <w:rPr>
          <w:lang w:eastAsia="en-GB"/>
        </w:rPr>
      </w:pPr>
    </w:p>
    <w:p w14:paraId="4557780C" w14:textId="77777777" w:rsidR="003951A7" w:rsidRDefault="003951A7" w:rsidP="003951A7">
      <w:pPr>
        <w:pStyle w:val="MainText"/>
        <w:rPr>
          <w:lang w:eastAsia="en-GB"/>
        </w:rPr>
      </w:pPr>
    </w:p>
    <w:p w14:paraId="47A542EB" w14:textId="77777777" w:rsidR="003951A7" w:rsidRDefault="003951A7" w:rsidP="003951A7">
      <w:pPr>
        <w:pStyle w:val="MainText"/>
        <w:rPr>
          <w:lang w:eastAsia="en-GB"/>
        </w:rPr>
      </w:pPr>
    </w:p>
    <w:p w14:paraId="2A05140E" w14:textId="77777777" w:rsidR="003951A7" w:rsidRDefault="003951A7" w:rsidP="003951A7">
      <w:pPr>
        <w:pStyle w:val="MainText"/>
        <w:rPr>
          <w:lang w:eastAsia="en-GB"/>
        </w:rPr>
      </w:pPr>
    </w:p>
    <w:p w14:paraId="1FDF1908" w14:textId="77777777" w:rsidR="003951A7" w:rsidRDefault="003951A7" w:rsidP="003951A7">
      <w:pPr>
        <w:pStyle w:val="MainText"/>
        <w:rPr>
          <w:lang w:eastAsia="en-GB"/>
        </w:rPr>
      </w:pPr>
    </w:p>
    <w:p w14:paraId="4CD0075F" w14:textId="77777777" w:rsidR="003951A7" w:rsidRDefault="003951A7" w:rsidP="003951A7">
      <w:pPr>
        <w:pStyle w:val="MainText"/>
        <w:rPr>
          <w:lang w:eastAsia="en-GB"/>
        </w:rPr>
      </w:pPr>
    </w:p>
    <w:p w14:paraId="63B79B94" w14:textId="77777777" w:rsidR="003951A7" w:rsidRDefault="003951A7" w:rsidP="003951A7">
      <w:pPr>
        <w:pStyle w:val="MainText"/>
        <w:rPr>
          <w:lang w:eastAsia="en-GB"/>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tblGrid>
      <w:tr w:rsidR="003951A7" w:rsidRPr="00B96D63" w14:paraId="2C19D4F5" w14:textId="77777777" w:rsidTr="000034E8">
        <w:trPr>
          <w:trHeight w:val="274"/>
        </w:trPr>
        <w:tc>
          <w:tcPr>
            <w:tcW w:w="1695" w:type="dxa"/>
          </w:tcPr>
          <w:p w14:paraId="15D87554" w14:textId="77777777" w:rsidR="003951A7" w:rsidRPr="00B96D63" w:rsidRDefault="003951A7" w:rsidP="000034E8">
            <w:pPr>
              <w:pStyle w:val="MainText"/>
            </w:pPr>
            <w:r w:rsidRPr="008C10D4">
              <w:rPr>
                <w:highlight w:val="lightGray"/>
              </w:rPr>
              <w:t>USSJBB-10-M</w:t>
            </w:r>
          </w:p>
        </w:tc>
      </w:tr>
      <w:tr w:rsidR="003951A7" w:rsidRPr="00B96D63" w14:paraId="350977C3" w14:textId="77777777" w:rsidTr="000034E8">
        <w:trPr>
          <w:trHeight w:val="88"/>
        </w:trPr>
        <w:tc>
          <w:tcPr>
            <w:tcW w:w="1695" w:type="dxa"/>
          </w:tcPr>
          <w:p w14:paraId="760B92BE" w14:textId="77777777" w:rsidR="003951A7" w:rsidRPr="00B96D63" w:rsidRDefault="003951A7" w:rsidP="000034E8">
            <w:pPr>
              <w:pStyle w:val="MainText"/>
              <w:rPr>
                <w:i/>
              </w:rPr>
            </w:pPr>
            <w:r w:rsidRPr="00B96D63">
              <w:rPr>
                <w:rFonts w:eastAsia="Times New Roman"/>
                <w:lang w:val="en-JM" w:eastAsia="en-GB"/>
              </w:rPr>
              <w:t>RES REVIEW</w:t>
            </w:r>
          </w:p>
        </w:tc>
      </w:tr>
      <w:tr w:rsidR="003951A7" w:rsidRPr="00B96D63" w14:paraId="2264DDE3" w14:textId="77777777" w:rsidTr="000034E8">
        <w:trPr>
          <w:trHeight w:val="272"/>
        </w:trPr>
        <w:tc>
          <w:tcPr>
            <w:tcW w:w="1695" w:type="dxa"/>
            <w:vAlign w:val="center"/>
          </w:tcPr>
          <w:p w14:paraId="47444DAE" w14:textId="77777777" w:rsidR="003951A7" w:rsidRPr="00B96D63" w:rsidRDefault="003951A7" w:rsidP="000034E8">
            <w:pPr>
              <w:pStyle w:val="MainText"/>
            </w:pPr>
            <w:r w:rsidRPr="00B96D63">
              <w:t>50(65)*</w:t>
            </w:r>
          </w:p>
        </w:tc>
      </w:tr>
      <w:tr w:rsidR="003951A7" w:rsidRPr="00B96D63" w14:paraId="459CB000" w14:textId="77777777" w:rsidTr="000034E8">
        <w:trPr>
          <w:trHeight w:val="218"/>
        </w:trPr>
        <w:tc>
          <w:tcPr>
            <w:tcW w:w="1695" w:type="dxa"/>
          </w:tcPr>
          <w:p w14:paraId="12A1007E" w14:textId="77777777" w:rsidR="003951A7" w:rsidRPr="00B96D63" w:rsidRDefault="003951A7" w:rsidP="000034E8">
            <w:pPr>
              <w:pStyle w:val="MainText"/>
            </w:pPr>
            <w:r w:rsidRPr="00B96D63">
              <w:t>10</w:t>
            </w:r>
          </w:p>
        </w:tc>
      </w:tr>
    </w:tbl>
    <w:p w14:paraId="2718BBC1" w14:textId="77777777" w:rsidR="003951A7" w:rsidRDefault="003951A7" w:rsidP="003951A7">
      <w:pPr>
        <w:pStyle w:val="MainText"/>
        <w:rPr>
          <w:lang w:eastAsia="en-GB"/>
        </w:rPr>
      </w:pPr>
      <w:r>
        <w:rPr>
          <w:noProof/>
          <w:lang w:eastAsia="en-GB"/>
        </w:rPr>
        <mc:AlternateContent>
          <mc:Choice Requires="wps">
            <w:drawing>
              <wp:anchor distT="0" distB="0" distL="114300" distR="114300" simplePos="0" relativeHeight="251673600" behindDoc="0" locked="0" layoutInCell="1" allowOverlap="1" wp14:anchorId="3C1FC897" wp14:editId="2A5F18BB">
                <wp:simplePos x="0" y="0"/>
                <wp:positionH relativeFrom="column">
                  <wp:posOffset>1348740</wp:posOffset>
                </wp:positionH>
                <wp:positionV relativeFrom="paragraph">
                  <wp:posOffset>54610</wp:posOffset>
                </wp:positionV>
                <wp:extent cx="4023360" cy="762000"/>
                <wp:effectExtent l="0" t="0" r="15240" b="19050"/>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762000"/>
                        </a:xfrm>
                        <a:prstGeom prst="rect">
                          <a:avLst/>
                        </a:prstGeom>
                        <a:solidFill>
                          <a:srgbClr val="FFFFFF"/>
                        </a:solidFill>
                        <a:ln w="9525">
                          <a:solidFill>
                            <a:srgbClr val="000000"/>
                          </a:solidFill>
                          <a:miter lim="800000"/>
                          <a:headEnd/>
                          <a:tailEnd/>
                        </a:ln>
                      </wps:spPr>
                      <wps:txbx>
                        <w:txbxContent>
                          <w:p w14:paraId="535EB774" w14:textId="77777777" w:rsidR="005E553F" w:rsidRPr="00BD55ED" w:rsidRDefault="005E553F" w:rsidP="003951A7">
                            <w:pPr>
                              <w:pStyle w:val="MainText"/>
                            </w:pPr>
                            <w:r w:rsidRPr="00BD55ED">
                              <w:t>The module mark is capped, the full mark is the number in brackets.  This capping has been imposed from a previous board and so has an</w:t>
                            </w:r>
                            <w:r>
                              <w:t xml:space="preserve"> asterisk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FC897" id="Text Box 111" o:spid="_x0000_s1033" type="#_x0000_t202" style="position:absolute;margin-left:106.2pt;margin-top:4.3pt;width:316.8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">
                <v:textbox>
                  <w:txbxContent>
                    <w:p w14:paraId="535EB774" w14:textId="77777777" w:rsidR="005E553F" w:rsidRPr="00BD55ED" w:rsidRDefault="005E553F" w:rsidP="003951A7">
                      <w:pPr>
                        <w:pStyle w:val="MainText"/>
                      </w:pPr>
                      <w:r w:rsidRPr="00BD55ED">
                        <w:t>The module mark is capped, the full mark is the number in brackets.  This capping has been imposed from a previous board and so has an</w:t>
                      </w:r>
                      <w:r>
                        <w:t xml:space="preserve"> asterisk</w:t>
                      </w:r>
                    </w:p>
                  </w:txbxContent>
                </v:textbox>
              </v:shape>
            </w:pict>
          </mc:Fallback>
        </mc:AlternateContent>
      </w:r>
    </w:p>
    <w:p w14:paraId="7AE7A716" w14:textId="77777777" w:rsidR="003951A7" w:rsidRDefault="003951A7" w:rsidP="003951A7">
      <w:pPr>
        <w:pStyle w:val="MainText"/>
        <w:rPr>
          <w:lang w:eastAsia="en-GB"/>
        </w:rPr>
      </w:pPr>
    </w:p>
    <w:p w14:paraId="2401FE3D" w14:textId="77777777" w:rsidR="003951A7" w:rsidRDefault="003951A7" w:rsidP="003951A7">
      <w:pPr>
        <w:pStyle w:val="MainText"/>
        <w:rPr>
          <w:lang w:eastAsia="en-GB"/>
        </w:rPr>
      </w:pPr>
    </w:p>
    <w:p w14:paraId="7B833EC0" w14:textId="77777777" w:rsidR="003951A7" w:rsidRDefault="003951A7" w:rsidP="003951A7">
      <w:pPr>
        <w:pStyle w:val="MainText"/>
        <w:rPr>
          <w:lang w:eastAsia="en-GB"/>
        </w:rPr>
      </w:pPr>
    </w:p>
    <w:p w14:paraId="750B4EB9" w14:textId="77777777" w:rsidR="003951A7" w:rsidRDefault="003951A7" w:rsidP="003951A7">
      <w:pPr>
        <w:rPr>
          <w:sz w:val="20"/>
          <w:lang w:eastAsia="en-GB"/>
        </w:rPr>
      </w:pPr>
    </w:p>
    <w:p w14:paraId="4DD7FC87" w14:textId="77777777" w:rsidR="003951A7" w:rsidRDefault="003951A7" w:rsidP="003951A7">
      <w:pPr>
        <w:rPr>
          <w:sz w:val="20"/>
          <w:lang w:eastAsia="en-GB"/>
        </w:rPr>
      </w:pPr>
    </w:p>
    <w:p w14:paraId="76E2CEBC" w14:textId="77777777" w:rsidR="003951A7" w:rsidRPr="003D71EE" w:rsidRDefault="003951A7" w:rsidP="00792A60">
      <w:pPr>
        <w:pStyle w:val="Bulletpointstyle"/>
      </w:pPr>
      <w:r w:rsidRPr="003D71EE">
        <w:t>To indicate where a previous Award Board has already granted an Exceptional Retake the module will be suffixed with a ‘+’.</w:t>
      </w:r>
    </w:p>
    <w:p w14:paraId="76220797" w14:textId="77777777" w:rsidR="003951A7" w:rsidRPr="003D71EE" w:rsidRDefault="003951A7" w:rsidP="00792A60">
      <w:pPr>
        <w:pStyle w:val="Bulletpointstyle"/>
      </w:pPr>
      <w:r w:rsidRPr="003D71EE">
        <w:t>To indicate where a failed module has been attempted more than once the failed decision will be suffixed with the number of actual attempts e.g F(2) or F(2)?</w:t>
      </w:r>
    </w:p>
    <w:p w14:paraId="128A3175" w14:textId="77777777" w:rsidR="003951A7" w:rsidRPr="003D71EE" w:rsidRDefault="003951A7" w:rsidP="00792A60">
      <w:pPr>
        <w:pStyle w:val="Bulletpointstyle"/>
      </w:pPr>
      <w:r w:rsidRPr="003D71EE">
        <w:br w:type="page"/>
      </w:r>
    </w:p>
    <w:p w14:paraId="5A9803E2" w14:textId="77777777" w:rsidR="003951A7" w:rsidRPr="00F90823" w:rsidRDefault="003951A7" w:rsidP="00F90823">
      <w:pPr>
        <w:shd w:val="clear" w:color="auto" w:fill="852B13"/>
        <w:spacing w:line="320" w:lineRule="exact"/>
        <w:rPr>
          <w:rFonts w:cs="Tahoma"/>
          <w:b/>
          <w:bCs/>
          <w:color w:val="FFFFFF" w:themeColor="background1"/>
          <w:sz w:val="28"/>
          <w:szCs w:val="28"/>
        </w:rPr>
      </w:pPr>
      <w:r w:rsidRPr="00F90823">
        <w:rPr>
          <w:rFonts w:cs="Tahoma"/>
          <w:b/>
          <w:bCs/>
          <w:color w:val="FFFFFF" w:themeColor="background1"/>
          <w:sz w:val="28"/>
          <w:szCs w:val="28"/>
        </w:rPr>
        <w:lastRenderedPageBreak/>
        <w:t xml:space="preserve">FAILED AWARDS – ADMINISTRATIVE GUIDANCE </w:t>
      </w:r>
    </w:p>
    <w:p w14:paraId="14D9DFA7" w14:textId="77777777" w:rsidR="003951A7" w:rsidRPr="00A10796" w:rsidRDefault="003951A7" w:rsidP="003951A7">
      <w:pPr>
        <w:pStyle w:val="MainText"/>
        <w:rPr>
          <w:b/>
        </w:rPr>
      </w:pPr>
      <w:bookmarkStart w:id="27" w:name="_GoBack"/>
      <w:bookmarkEnd w:id="27"/>
      <w:r w:rsidRPr="00A10796">
        <w:rPr>
          <w:b/>
        </w:rPr>
        <w:t>Introduction</w:t>
      </w:r>
    </w:p>
    <w:p w14:paraId="0565C863" w14:textId="77777777" w:rsidR="003951A7" w:rsidRDefault="003951A7" w:rsidP="003951A7">
      <w:pPr>
        <w:pStyle w:val="MainText"/>
      </w:pPr>
      <w:r w:rsidRPr="00A10796">
        <w:t>This guidance is intended to assist with the management of the student record in the event that a ‘Failed Award’ (FA) or ‘Failed Target’ (FT) decision is recorded at an Award Board.</w:t>
      </w:r>
    </w:p>
    <w:p w14:paraId="2CC532B7" w14:textId="77777777" w:rsidR="003951A7" w:rsidRDefault="003951A7" w:rsidP="003951A7">
      <w:pPr>
        <w:pStyle w:val="MainText"/>
      </w:pPr>
    </w:p>
    <w:p w14:paraId="24376B87" w14:textId="77777777" w:rsidR="003951A7" w:rsidRPr="0023289C" w:rsidRDefault="003951A7" w:rsidP="003951A7">
      <w:pPr>
        <w:pStyle w:val="MainText"/>
        <w:rPr>
          <w:b/>
        </w:rPr>
      </w:pPr>
      <w:r w:rsidRPr="0023289C">
        <w:rPr>
          <w:b/>
        </w:rPr>
        <w:t>1. Failed Award no resits available</w:t>
      </w:r>
    </w:p>
    <w:p w14:paraId="7D24D3BC" w14:textId="0E4A0257" w:rsidR="003951A7" w:rsidRDefault="003951A7" w:rsidP="003951A7">
      <w:pPr>
        <w:pStyle w:val="MainText"/>
      </w:pPr>
      <w:r>
        <w:t xml:space="preserve">In the event that a Failed Award decision is reached by an Award Board and the student has no outstanding resits on any modules they are enrolled on, then the decision of ‘FA’ should be recorded on </w:t>
      </w:r>
      <w:r w:rsidR="0031624F">
        <w:t>the record system</w:t>
      </w:r>
      <w:r>
        <w:t>.</w:t>
      </w:r>
    </w:p>
    <w:p w14:paraId="08DBCE42" w14:textId="77777777" w:rsidR="003951A7" w:rsidRPr="001325D0" w:rsidRDefault="003951A7" w:rsidP="00417C0C">
      <w:pPr>
        <w:pStyle w:val="MainText"/>
      </w:pPr>
      <w:r w:rsidRPr="00417C0C">
        <w:t>The student cannot re-enrol on the award.</w:t>
      </w:r>
    </w:p>
    <w:p w14:paraId="7384704C" w14:textId="77777777" w:rsidR="003951A7" w:rsidRDefault="003951A7" w:rsidP="003951A7">
      <w:pPr>
        <w:pStyle w:val="MainText"/>
      </w:pPr>
    </w:p>
    <w:p w14:paraId="3AD507E6" w14:textId="77777777" w:rsidR="003951A7" w:rsidRPr="0023289C" w:rsidRDefault="003951A7" w:rsidP="003951A7">
      <w:pPr>
        <w:pStyle w:val="MainText"/>
        <w:rPr>
          <w:b/>
        </w:rPr>
      </w:pPr>
      <w:r w:rsidRPr="0023289C">
        <w:rPr>
          <w:b/>
        </w:rPr>
        <w:t>2. Failed Award with retakes available</w:t>
      </w:r>
    </w:p>
    <w:p w14:paraId="199CD8CD" w14:textId="229C694E" w:rsidR="003951A7" w:rsidRDefault="003951A7" w:rsidP="003951A7">
      <w:pPr>
        <w:pStyle w:val="MainText"/>
      </w:pPr>
      <w:r>
        <w:t xml:space="preserve">In the event that a Failed Award decision is reached by an Award Board regardless of the fact that the student still has the potential to take the module again, the decision of ‘FA’ should be recorded on </w:t>
      </w:r>
      <w:r w:rsidR="0031624F">
        <w:t>the record system</w:t>
      </w:r>
      <w:r>
        <w:t xml:space="preserve">. </w:t>
      </w:r>
    </w:p>
    <w:p w14:paraId="3135E692" w14:textId="77777777" w:rsidR="003951A7" w:rsidRPr="00CD0FBA" w:rsidRDefault="003951A7" w:rsidP="00417C0C">
      <w:pPr>
        <w:pStyle w:val="MainText"/>
        <w:rPr>
          <w:b/>
        </w:rPr>
      </w:pPr>
      <w:r w:rsidRPr="001325D0">
        <w:t>The student cannot re-enrol on the award.</w:t>
      </w:r>
    </w:p>
    <w:p w14:paraId="7BDB4E6B" w14:textId="77777777" w:rsidR="003951A7" w:rsidRDefault="003951A7" w:rsidP="003951A7">
      <w:pPr>
        <w:pStyle w:val="MainText"/>
      </w:pPr>
    </w:p>
    <w:p w14:paraId="275C67D8" w14:textId="77777777" w:rsidR="003951A7" w:rsidRPr="0023289C" w:rsidRDefault="003951A7" w:rsidP="003951A7">
      <w:pPr>
        <w:pStyle w:val="MainText"/>
        <w:rPr>
          <w:b/>
        </w:rPr>
      </w:pPr>
      <w:r w:rsidRPr="0023289C">
        <w:rPr>
          <w:b/>
        </w:rPr>
        <w:t>3. Failed Award with resits available</w:t>
      </w:r>
    </w:p>
    <w:p w14:paraId="1F087E72" w14:textId="77777777" w:rsidR="003951A7" w:rsidRDefault="003951A7" w:rsidP="003951A7">
      <w:pPr>
        <w:pStyle w:val="MainText"/>
      </w:pPr>
      <w:r>
        <w:t>If a student fails a compulsory module but has outstanding resits on other modules they have the right to engage with any outstanding resit within that academic year.</w:t>
      </w:r>
    </w:p>
    <w:p w14:paraId="23E79F00" w14:textId="77777777" w:rsidR="003951A7" w:rsidRDefault="003951A7" w:rsidP="003951A7">
      <w:pPr>
        <w:pStyle w:val="MainText"/>
      </w:pPr>
    </w:p>
    <w:p w14:paraId="07CB96B3" w14:textId="77777777" w:rsidR="003951A7" w:rsidRDefault="003951A7" w:rsidP="003951A7">
      <w:pPr>
        <w:pStyle w:val="MainText"/>
      </w:pPr>
      <w:r>
        <w:t>The decision of ‘FT’ (Failed Target) is used to record the Award Board outcome.  This will result in a failed decision outcome being published to the student, but will allow the Primary Award registration to continue as ‘registered’ in order for the student to resit modules and potentially improve an interim eligibility.</w:t>
      </w:r>
    </w:p>
    <w:p w14:paraId="28610062" w14:textId="77777777" w:rsidR="00417C0C" w:rsidRDefault="00417C0C" w:rsidP="00417C0C">
      <w:pPr>
        <w:pStyle w:val="MainText"/>
        <w:rPr>
          <w:b/>
        </w:rPr>
      </w:pPr>
    </w:p>
    <w:p w14:paraId="2C5881A6" w14:textId="77777777" w:rsidR="003951A7" w:rsidRPr="001325D0" w:rsidRDefault="003951A7" w:rsidP="00417C0C">
      <w:pPr>
        <w:pStyle w:val="MainText"/>
      </w:pPr>
      <w:r w:rsidRPr="001325D0">
        <w:t>The student may undertake their resits within the same academic year, but cannot re-enrol on the award in order to complete any outstanding retakes.</w:t>
      </w:r>
    </w:p>
    <w:p w14:paraId="5A72932C" w14:textId="77777777" w:rsidR="003951A7" w:rsidRDefault="003951A7" w:rsidP="003951A7">
      <w:pPr>
        <w:pStyle w:val="MainText"/>
      </w:pPr>
    </w:p>
    <w:p w14:paraId="7884DEF7" w14:textId="77777777" w:rsidR="003951A7" w:rsidRDefault="003951A7" w:rsidP="003951A7">
      <w:pPr>
        <w:pStyle w:val="MainText"/>
      </w:pPr>
      <w:r>
        <w:t xml:space="preserve">Once the resit outcomes are known and have been presented to the appropriate Board the student will then be subject to a Failed Award decision (‘FA’) which will have the effect of closing down the whole registration. </w:t>
      </w:r>
    </w:p>
    <w:p w14:paraId="1C6A9DB9" w14:textId="77777777" w:rsidR="003951A7" w:rsidRDefault="003951A7" w:rsidP="003951A7">
      <w:pPr>
        <w:pStyle w:val="MainText"/>
      </w:pPr>
    </w:p>
    <w:p w14:paraId="41317C94" w14:textId="77777777" w:rsidR="003951A7" w:rsidRDefault="003951A7" w:rsidP="003951A7">
      <w:pPr>
        <w:pStyle w:val="MainText"/>
      </w:pPr>
      <w:r>
        <w:t>The resit opportunities will be presented as contributing to the existing ‘failed award’, but will be shown on the pre-Award Board paperwork as having a registration status of ‘RW’ against the ‘Reg Status’ (example shown below). This denotes that the student has already been subject to a failed target decision and that the new decisions are being presented to complete the resits available and note any change in interim award eligibility.</w:t>
      </w:r>
    </w:p>
    <w:p w14:paraId="2285005A" w14:textId="77777777" w:rsidR="003951A7" w:rsidRDefault="003951A7" w:rsidP="003951A7">
      <w:pPr>
        <w:pStyle w:val="MainText"/>
      </w:pPr>
    </w:p>
    <w:p w14:paraId="636B3437" w14:textId="77777777" w:rsidR="003951A7" w:rsidRDefault="003951A7" w:rsidP="003951A7">
      <w:pPr>
        <w:pStyle w:val="MainText"/>
      </w:pPr>
    </w:p>
    <w:p w14:paraId="22BF12AD" w14:textId="77777777" w:rsidR="003951A7" w:rsidRDefault="003951A7" w:rsidP="003951A7">
      <w:pPr>
        <w:rPr>
          <w:sz w:val="20"/>
        </w:rPr>
      </w:pPr>
      <w:r>
        <w:rPr>
          <w:noProof/>
          <w:lang w:eastAsia="en-GB"/>
        </w:rPr>
        <w:lastRenderedPageBreak/>
        <mc:AlternateContent>
          <mc:Choice Requires="wps">
            <w:drawing>
              <wp:anchor distT="0" distB="0" distL="114300" distR="114300" simplePos="0" relativeHeight="251676672" behindDoc="0" locked="0" layoutInCell="1" allowOverlap="1" wp14:anchorId="1D44898A" wp14:editId="695D312C">
                <wp:simplePos x="0" y="0"/>
                <wp:positionH relativeFrom="column">
                  <wp:posOffset>2389505</wp:posOffset>
                </wp:positionH>
                <wp:positionV relativeFrom="paragraph">
                  <wp:posOffset>55245</wp:posOffset>
                </wp:positionV>
                <wp:extent cx="500380" cy="448310"/>
                <wp:effectExtent l="0" t="0" r="13970" b="2794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80" cy="448310"/>
                        </a:xfrm>
                        <a:prstGeom prst="ellipse">
                          <a:avLst/>
                        </a:prstGeom>
                        <a:solidFill>
                          <a:srgbClr val="FFFFFF">
                            <a:alpha val="0"/>
                          </a:srgbClr>
                        </a:solidFill>
                        <a:ln w="9525">
                          <a:solidFill>
                            <a:srgbClr val="000000"/>
                          </a:solidFill>
                          <a:round/>
                          <a:headEnd/>
                          <a:tailEnd/>
                        </a:ln>
                      </wps:spPr>
                      <wps:txbx>
                        <w:txbxContent>
                          <w:p w14:paraId="5DDB87AE" w14:textId="77777777" w:rsidR="005E553F" w:rsidRDefault="005E553F" w:rsidP="003951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44898A" id="Oval 12" o:spid="_x0000_s1034" style="position:absolute;margin-left:188.15pt;margin-top:4.35pt;width:39.4pt;height:3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">
                <v:fill opacity="0"/>
                <v:textbox>
                  <w:txbxContent>
                    <w:p w14:paraId="5DDB87AE" w14:textId="77777777" w:rsidR="005E553F" w:rsidRDefault="005E553F" w:rsidP="003951A7">
                      <w:pPr>
                        <w:jc w:val="center"/>
                      </w:pPr>
                    </w:p>
                  </w:txbxContent>
                </v:textbox>
              </v:oval>
            </w:pict>
          </mc:Fallback>
        </mc:AlternateContent>
      </w:r>
      <w:r>
        <w:rPr>
          <w:noProof/>
          <w:sz w:val="20"/>
          <w:lang w:eastAsia="en-GB"/>
        </w:rPr>
        <w:drawing>
          <wp:inline distT="0" distB="0" distL="0" distR="0" wp14:anchorId="37344E1C" wp14:editId="6CA55BF0">
            <wp:extent cx="6202680" cy="9067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4253" t="43234" r="26340" b="42760"/>
                    <a:stretch>
                      <a:fillRect/>
                    </a:stretch>
                  </pic:blipFill>
                  <pic:spPr bwMode="auto">
                    <a:xfrm>
                      <a:off x="0" y="0"/>
                      <a:ext cx="6202680" cy="906780"/>
                    </a:xfrm>
                    <a:prstGeom prst="rect">
                      <a:avLst/>
                    </a:prstGeom>
                    <a:noFill/>
                    <a:ln>
                      <a:noFill/>
                    </a:ln>
                  </pic:spPr>
                </pic:pic>
              </a:graphicData>
            </a:graphic>
          </wp:inline>
        </w:drawing>
      </w:r>
    </w:p>
    <w:p w14:paraId="173C3185" w14:textId="77777777" w:rsidR="003951A7" w:rsidRDefault="003951A7" w:rsidP="003951A7">
      <w:pPr>
        <w:pStyle w:val="MainText"/>
        <w:rPr>
          <w:b/>
        </w:rPr>
      </w:pPr>
    </w:p>
    <w:p w14:paraId="7B447768" w14:textId="77777777" w:rsidR="003951A7" w:rsidRPr="0023289C" w:rsidRDefault="003951A7" w:rsidP="003951A7">
      <w:pPr>
        <w:pStyle w:val="MainText"/>
        <w:rPr>
          <w:b/>
        </w:rPr>
      </w:pPr>
      <w:r w:rsidRPr="0023289C">
        <w:rPr>
          <w:b/>
        </w:rPr>
        <w:t>4. Failed Target regardless of whether resits or retakes are available</w:t>
      </w:r>
    </w:p>
    <w:p w14:paraId="0CA5C48D" w14:textId="146E474A" w:rsidR="003951A7" w:rsidRDefault="003951A7" w:rsidP="003951A7">
      <w:pPr>
        <w:pStyle w:val="MainText"/>
      </w:pPr>
      <w:r>
        <w:t xml:space="preserve">In the event that a Failed Target decision is reached by an Award Board, regardless of whether the student has outstanding resits or retakes for any modules they are enrolled on, then the decision of ‘FT’ should be recorded on </w:t>
      </w:r>
      <w:r w:rsidR="0031624F">
        <w:t>the record system</w:t>
      </w:r>
      <w:r>
        <w:t xml:space="preserve">. </w:t>
      </w:r>
    </w:p>
    <w:p w14:paraId="4E71FAC3" w14:textId="77777777" w:rsidR="003951A7" w:rsidRDefault="003951A7" w:rsidP="003951A7">
      <w:pPr>
        <w:pStyle w:val="MainText"/>
      </w:pPr>
    </w:p>
    <w:p w14:paraId="05ADE4C2" w14:textId="77777777" w:rsidR="003951A7" w:rsidRDefault="003951A7" w:rsidP="003951A7">
      <w:pPr>
        <w:pStyle w:val="MainText"/>
      </w:pPr>
      <w:r>
        <w:t>If the student wishes to register on an alternative award then they must go through the transfer process.</w:t>
      </w:r>
    </w:p>
    <w:p w14:paraId="7B2D98C0" w14:textId="77777777" w:rsidR="003951A7" w:rsidRDefault="003951A7" w:rsidP="003951A7">
      <w:pPr>
        <w:pStyle w:val="MainText"/>
      </w:pPr>
    </w:p>
    <w:p w14:paraId="1F49F962" w14:textId="7DD3F39B" w:rsidR="003951A7" w:rsidRPr="0023289C" w:rsidRDefault="009F237D" w:rsidP="003951A7">
      <w:pPr>
        <w:pStyle w:val="MainText"/>
        <w:rPr>
          <w:b/>
        </w:rPr>
      </w:pPr>
      <w:r>
        <w:rPr>
          <w:b/>
        </w:rPr>
        <w:t>S</w:t>
      </w:r>
      <w:r w:rsidR="003951A7" w:rsidRPr="0023289C">
        <w:rPr>
          <w:b/>
        </w:rPr>
        <w:t>uccessful appeal of an FA or FT decision</w:t>
      </w:r>
    </w:p>
    <w:p w14:paraId="73F0F359" w14:textId="5AFE6B47" w:rsidR="003951A7" w:rsidRDefault="003951A7" w:rsidP="003951A7">
      <w:pPr>
        <w:pStyle w:val="MainText"/>
      </w:pPr>
      <w:r>
        <w:t>In the event that an FA or FT decision is overturned on appeal and the student has been transferred to a new award or virtual award, the new award should be withdrawn using withdrawal code ’29 - Registered in Error’ and the student re-instated in the original award.  This will allow the new registration to be ignored for monitoring purposes and will avoid high withdrawal statistics.</w:t>
      </w:r>
    </w:p>
    <w:p w14:paraId="6D6666F8" w14:textId="7062C011" w:rsidR="00BC0DD5" w:rsidRDefault="00BC0DD5" w:rsidP="003951A7">
      <w:pPr>
        <w:pStyle w:val="MainText"/>
      </w:pPr>
    </w:p>
    <w:p w14:paraId="176F4962" w14:textId="0D1149EC" w:rsidR="00BC0DD5" w:rsidRDefault="00BC0DD5" w:rsidP="003951A7">
      <w:pPr>
        <w:pStyle w:val="MainText"/>
      </w:pPr>
    </w:p>
    <w:p w14:paraId="6B4D8A72" w14:textId="19C8F4E4" w:rsidR="00BC0DD5" w:rsidRDefault="00BC0DD5" w:rsidP="003951A7">
      <w:pPr>
        <w:pStyle w:val="MainText"/>
      </w:pPr>
    </w:p>
    <w:p w14:paraId="4D6792A3" w14:textId="0FF9D8D3" w:rsidR="00BC0DD5" w:rsidRDefault="00BC0DD5" w:rsidP="003951A7">
      <w:pPr>
        <w:pStyle w:val="MainText"/>
      </w:pPr>
    </w:p>
    <w:p w14:paraId="7EFFC388" w14:textId="2F7FB1F0" w:rsidR="00BC0DD5" w:rsidRDefault="00BC0DD5" w:rsidP="003951A7">
      <w:pPr>
        <w:pStyle w:val="MainText"/>
      </w:pPr>
    </w:p>
    <w:p w14:paraId="50DA0A65" w14:textId="7C706BFF" w:rsidR="00BC0DD5" w:rsidRDefault="00BC0DD5" w:rsidP="003951A7">
      <w:pPr>
        <w:pStyle w:val="MainText"/>
      </w:pPr>
    </w:p>
    <w:p w14:paraId="7FEBFE75" w14:textId="6763ADCF" w:rsidR="00BC0DD5" w:rsidRDefault="00BC0DD5" w:rsidP="003951A7">
      <w:pPr>
        <w:pStyle w:val="MainText"/>
      </w:pPr>
    </w:p>
    <w:p w14:paraId="760FC453" w14:textId="3DF82B53" w:rsidR="00BC0DD5" w:rsidRDefault="00BC0DD5" w:rsidP="003951A7">
      <w:pPr>
        <w:pStyle w:val="MainText"/>
      </w:pPr>
    </w:p>
    <w:p w14:paraId="74A2E94A" w14:textId="51377CEC" w:rsidR="00BC0DD5" w:rsidRDefault="00BC0DD5" w:rsidP="003951A7">
      <w:pPr>
        <w:pStyle w:val="MainText"/>
      </w:pPr>
    </w:p>
    <w:p w14:paraId="58C0581A" w14:textId="77581475" w:rsidR="00BC0DD5" w:rsidRDefault="00BC0DD5" w:rsidP="003951A7">
      <w:pPr>
        <w:pStyle w:val="MainText"/>
      </w:pPr>
    </w:p>
    <w:p w14:paraId="0915BBED" w14:textId="0E0BB0E7" w:rsidR="00BC0DD5" w:rsidRDefault="00BC0DD5" w:rsidP="003951A7">
      <w:pPr>
        <w:pStyle w:val="MainText"/>
      </w:pPr>
    </w:p>
    <w:p w14:paraId="718E364D" w14:textId="277B07CE" w:rsidR="00BC0DD5" w:rsidRDefault="00BC0DD5" w:rsidP="003951A7">
      <w:pPr>
        <w:pStyle w:val="MainText"/>
      </w:pPr>
    </w:p>
    <w:p w14:paraId="35E72302" w14:textId="444314B0" w:rsidR="00BC0DD5" w:rsidRDefault="00BC0DD5" w:rsidP="003951A7">
      <w:pPr>
        <w:pStyle w:val="MainText"/>
      </w:pPr>
    </w:p>
    <w:p w14:paraId="5C7D8531" w14:textId="1D426A63" w:rsidR="00BC0DD5" w:rsidRDefault="00BC0DD5" w:rsidP="003951A7">
      <w:pPr>
        <w:pStyle w:val="MainText"/>
      </w:pPr>
    </w:p>
    <w:p w14:paraId="17F81988" w14:textId="033A3C22" w:rsidR="00BC0DD5" w:rsidRDefault="00BC0DD5" w:rsidP="003951A7">
      <w:pPr>
        <w:pStyle w:val="MainText"/>
      </w:pPr>
    </w:p>
    <w:p w14:paraId="6C21980D" w14:textId="5B30A841" w:rsidR="00BC0DD5" w:rsidRDefault="00BC0DD5" w:rsidP="003951A7">
      <w:pPr>
        <w:pStyle w:val="MainText"/>
      </w:pPr>
    </w:p>
    <w:p w14:paraId="74B3AA3D" w14:textId="195D4971" w:rsidR="00BC0DD5" w:rsidRDefault="00BC0DD5" w:rsidP="003951A7">
      <w:pPr>
        <w:pStyle w:val="MainText"/>
      </w:pPr>
    </w:p>
    <w:p w14:paraId="2AD723DB" w14:textId="776BCE1F" w:rsidR="00BC0DD5" w:rsidRDefault="00BC0DD5" w:rsidP="003951A7">
      <w:pPr>
        <w:pStyle w:val="MainText"/>
      </w:pPr>
    </w:p>
    <w:p w14:paraId="7DCF7E02" w14:textId="622DD087" w:rsidR="00BC0DD5" w:rsidRDefault="00BC0DD5" w:rsidP="003951A7">
      <w:pPr>
        <w:pStyle w:val="MainText"/>
      </w:pPr>
    </w:p>
    <w:p w14:paraId="12A5A75C" w14:textId="241A2DA3" w:rsidR="00BC0DD5" w:rsidRDefault="00BC0DD5" w:rsidP="003951A7">
      <w:pPr>
        <w:pStyle w:val="MainText"/>
      </w:pPr>
    </w:p>
    <w:p w14:paraId="1B5595CB" w14:textId="6DE8C4F9" w:rsidR="00BC0DD5" w:rsidRDefault="00BC0DD5" w:rsidP="003951A7">
      <w:pPr>
        <w:pStyle w:val="MainText"/>
      </w:pPr>
    </w:p>
    <w:p w14:paraId="15D975C0" w14:textId="06F92BB7" w:rsidR="00BC0DD5" w:rsidRDefault="00BC0DD5" w:rsidP="003951A7">
      <w:pPr>
        <w:pStyle w:val="MainText"/>
      </w:pPr>
    </w:p>
    <w:sectPr w:rsidR="00BC0DD5" w:rsidSect="00C311C4">
      <w:headerReference w:type="even" r:id="rId27"/>
      <w:headerReference w:type="default" r:id="rId28"/>
      <w:footerReference w:type="default" r:id="rId29"/>
      <w:headerReference w:type="first" r:id="rId30"/>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78CDE3" w16cid:durableId="21BF167B"/>
  <w16cid:commentId w16cid:paraId="624AEA35" w16cid:durableId="21BF16B1"/>
  <w16cid:commentId w16cid:paraId="72C8A811" w16cid:durableId="21BF1728"/>
  <w16cid:commentId w16cid:paraId="65B1A9D0" w16cid:durableId="21BF1D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94F3C" w14:textId="77777777" w:rsidR="005E553F" w:rsidRDefault="005E553F" w:rsidP="003F5996">
      <w:r>
        <w:separator/>
      </w:r>
    </w:p>
  </w:endnote>
  <w:endnote w:type="continuationSeparator" w:id="0">
    <w:p w14:paraId="57914317" w14:textId="77777777" w:rsidR="005E553F" w:rsidRDefault="005E553F"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2DB0" w14:textId="77777777" w:rsidR="005E553F" w:rsidRDefault="005E553F" w:rsidP="00C311C4">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9AD01" w14:textId="77777777" w:rsidR="005E553F" w:rsidRDefault="005E553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37BD9" w14:textId="77777777" w:rsidR="005E553F" w:rsidRDefault="005E553F"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8233874" w14:textId="77777777" w:rsidR="005E553F" w:rsidRDefault="005E553F" w:rsidP="00F25B40">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91124"/>
      <w:docPartObj>
        <w:docPartGallery w:val="Page Numbers (Bottom of Page)"/>
        <w:docPartUnique/>
      </w:docPartObj>
    </w:sdtPr>
    <w:sdtEndPr>
      <w:rPr>
        <w:noProof/>
      </w:rPr>
    </w:sdtEndPr>
    <w:sdtContent>
      <w:p w14:paraId="74CC3C0C" w14:textId="5B12811B" w:rsidR="005E553F" w:rsidRDefault="005E553F">
        <w:pPr>
          <w:pStyle w:val="Footer"/>
          <w:jc w:val="center"/>
        </w:pPr>
        <w:r>
          <w:fldChar w:fldCharType="begin"/>
        </w:r>
        <w:r>
          <w:instrText xml:space="preserve"> PAGE   \* MERGEFORMAT </w:instrText>
        </w:r>
        <w:r>
          <w:fldChar w:fldCharType="separate"/>
        </w:r>
        <w:r w:rsidR="00A10796">
          <w:rPr>
            <w:noProof/>
          </w:rPr>
          <w:t>27</w:t>
        </w:r>
        <w:r>
          <w:rPr>
            <w:noProof/>
          </w:rPr>
          <w:fldChar w:fldCharType="end"/>
        </w:r>
      </w:p>
    </w:sdtContent>
  </w:sdt>
  <w:p w14:paraId="5A2893EA" w14:textId="77777777" w:rsidR="005E553F" w:rsidRDefault="005E5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623865"/>
      <w:docPartObj>
        <w:docPartGallery w:val="Page Numbers (Bottom of Page)"/>
        <w:docPartUnique/>
      </w:docPartObj>
    </w:sdtPr>
    <w:sdtEndPr>
      <w:rPr>
        <w:noProof/>
      </w:rPr>
    </w:sdtEndPr>
    <w:sdtContent>
      <w:p w14:paraId="4784DCED" w14:textId="39570FE6" w:rsidR="005E553F" w:rsidRDefault="005E553F">
        <w:pPr>
          <w:pStyle w:val="Footer"/>
          <w:jc w:val="center"/>
        </w:pPr>
        <w:r>
          <w:fldChar w:fldCharType="begin"/>
        </w:r>
        <w:r>
          <w:instrText xml:space="preserve"> PAGE   \* MERGEFORMAT </w:instrText>
        </w:r>
        <w:r>
          <w:fldChar w:fldCharType="separate"/>
        </w:r>
        <w:r w:rsidR="00A10796">
          <w:rPr>
            <w:noProof/>
          </w:rPr>
          <w:t>32</w:t>
        </w:r>
        <w:r>
          <w:rPr>
            <w:noProof/>
          </w:rPr>
          <w:fldChar w:fldCharType="end"/>
        </w:r>
      </w:p>
    </w:sdtContent>
  </w:sdt>
  <w:p w14:paraId="4F1C41EB" w14:textId="77777777" w:rsidR="005E553F" w:rsidRDefault="005E5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FAD8" w14:textId="77777777" w:rsidR="005E553F" w:rsidRDefault="005E553F" w:rsidP="003F5996">
      <w:r>
        <w:separator/>
      </w:r>
    </w:p>
  </w:footnote>
  <w:footnote w:type="continuationSeparator" w:id="0">
    <w:p w14:paraId="7067135E" w14:textId="77777777" w:rsidR="005E553F" w:rsidRDefault="005E553F" w:rsidP="003F5996">
      <w:r>
        <w:continuationSeparator/>
      </w:r>
    </w:p>
  </w:footnote>
  <w:footnote w:id="1">
    <w:p w14:paraId="4F3AB134" w14:textId="6E61C434" w:rsidR="005E553F" w:rsidRPr="0006456D" w:rsidRDefault="005E553F" w:rsidP="00CD1269">
      <w:pPr>
        <w:pStyle w:val="Footnotestyle"/>
      </w:pPr>
      <w:r>
        <w:rPr>
          <w:rStyle w:val="FootnoteReference"/>
        </w:rPr>
        <w:footnoteRef/>
      </w:r>
      <w:r>
        <w:t xml:space="preserve"> </w:t>
      </w:r>
      <w:r w:rsidRPr="0006456D">
        <w:t xml:space="preserve">  At Hartpury staff will create a pack of reports which is available as a hard copy for the </w:t>
      </w:r>
      <w:r>
        <w:t>Chair</w:t>
      </w:r>
      <w:r w:rsidRPr="0006456D">
        <w:t>, Clerk and Academic Registrar (and other members as required).  The pack is then projected for the reference of the wider Board membership.</w:t>
      </w:r>
    </w:p>
  </w:footnote>
  <w:footnote w:id="2">
    <w:p w14:paraId="19ACF029" w14:textId="77777777" w:rsidR="005E553F" w:rsidRPr="006B76C1" w:rsidRDefault="005E553F" w:rsidP="00A64B94">
      <w:pPr>
        <w:pStyle w:val="Footnotestyle"/>
      </w:pPr>
      <w:r w:rsidRPr="006B76C1">
        <w:rPr>
          <w:rStyle w:val="FootnoteReference"/>
        </w:rPr>
        <w:footnoteRef/>
      </w:r>
      <w:r w:rsidRPr="006B76C1">
        <w:t xml:space="preserve"> For example, for a foundation degree this would be level 2, for an honours degree this would be level 3, for a masters degree this would be level M</w:t>
      </w:r>
      <w:r>
        <w:t>.</w:t>
      </w:r>
    </w:p>
  </w:footnote>
  <w:footnote w:id="3">
    <w:p w14:paraId="1A860753" w14:textId="77777777" w:rsidR="005E553F" w:rsidRDefault="005E553F" w:rsidP="0079707C">
      <w:pPr>
        <w:pStyle w:val="Footnotestyle"/>
      </w:pPr>
      <w:r>
        <w:rPr>
          <w:rStyle w:val="FootnoteReference"/>
        </w:rPr>
        <w:footnoteRef/>
      </w:r>
      <w:r>
        <w:t xml:space="preserve"> This refers to 50% of the highest level credits contributing to the credit requirements of the individual award and NOT 50% of the marks counting towards the award calculation.  E.g 50% of an honours degree would normally be 60 credits at level 3, 50% of a masters would normally be 90 credits at level M. However, this may vary depending on the structure of the award.</w:t>
      </w:r>
    </w:p>
  </w:footnote>
  <w:footnote w:id="4">
    <w:p w14:paraId="2F4677FF" w14:textId="77777777" w:rsidR="005E553F" w:rsidRDefault="005E553F" w:rsidP="003951A7">
      <w:pPr>
        <w:pStyle w:val="Footnotestyle"/>
      </w:pPr>
      <w:r>
        <w:rPr>
          <w:rStyle w:val="FootnoteReference"/>
        </w:rPr>
        <w:footnoteRef/>
      </w:r>
      <w:r>
        <w:t xml:space="preserve"> In practice it is likely that this will be most commonly used for non honours degrees interims.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A343B" w14:textId="77777777" w:rsidR="005E553F" w:rsidRDefault="005E5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AC39" w14:textId="77777777" w:rsidR="005E553F" w:rsidRPr="0071192E" w:rsidRDefault="005E553F">
    <w:pPr>
      <w:pStyle w:val="Header"/>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E097" w14:textId="77777777" w:rsidR="005E553F" w:rsidRDefault="005E55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F396" w14:textId="77777777" w:rsidR="005E553F" w:rsidRDefault="005E5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6760" w14:textId="77777777" w:rsidR="005E553F" w:rsidRPr="0071192E" w:rsidRDefault="005E553F">
    <w:pPr>
      <w:pStyle w:val="Header"/>
    </w:pPr>
    <w:r>
      <w:tab/>
    </w:r>
    <w:r>
      <w:tab/>
    </w:r>
    <w:r>
      <w:tab/>
    </w:r>
    <w:r>
      <w:tab/>
    </w: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8803" w14:textId="77777777" w:rsidR="005E553F" w:rsidRDefault="005E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64"/>
    <w:multiLevelType w:val="hybridMultilevel"/>
    <w:tmpl w:val="0EAE9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249E0"/>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81062"/>
    <w:multiLevelType w:val="hybridMultilevel"/>
    <w:tmpl w:val="C9901A7C"/>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769C6"/>
    <w:multiLevelType w:val="hybridMultilevel"/>
    <w:tmpl w:val="70526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D01C6"/>
    <w:multiLevelType w:val="hybridMultilevel"/>
    <w:tmpl w:val="7806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BB0793"/>
    <w:multiLevelType w:val="hybridMultilevel"/>
    <w:tmpl w:val="81B2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007CB"/>
    <w:multiLevelType w:val="hybridMultilevel"/>
    <w:tmpl w:val="611A7C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E8306AE"/>
    <w:multiLevelType w:val="hybridMultilevel"/>
    <w:tmpl w:val="DE0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1955"/>
    <w:multiLevelType w:val="hybridMultilevel"/>
    <w:tmpl w:val="EF76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92C16"/>
    <w:multiLevelType w:val="hybridMultilevel"/>
    <w:tmpl w:val="0F44FA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A7262"/>
    <w:multiLevelType w:val="hybridMultilevel"/>
    <w:tmpl w:val="C1348B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02218C"/>
    <w:multiLevelType w:val="hybridMultilevel"/>
    <w:tmpl w:val="4CC6AE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6867D6"/>
    <w:multiLevelType w:val="hybridMultilevel"/>
    <w:tmpl w:val="952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93C67"/>
    <w:multiLevelType w:val="hybridMultilevel"/>
    <w:tmpl w:val="A66C16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92122"/>
    <w:multiLevelType w:val="hybridMultilevel"/>
    <w:tmpl w:val="AB42910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E5F62B6"/>
    <w:multiLevelType w:val="hybridMultilevel"/>
    <w:tmpl w:val="58A8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83578"/>
    <w:multiLevelType w:val="hybridMultilevel"/>
    <w:tmpl w:val="EA403B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18E093E"/>
    <w:multiLevelType w:val="hybridMultilevel"/>
    <w:tmpl w:val="835CF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8126C"/>
    <w:multiLevelType w:val="hybridMultilevel"/>
    <w:tmpl w:val="E3582B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5A743E"/>
    <w:multiLevelType w:val="hybridMultilevel"/>
    <w:tmpl w:val="A524F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B7C7164"/>
    <w:multiLevelType w:val="hybridMultilevel"/>
    <w:tmpl w:val="612AECA8"/>
    <w:lvl w:ilvl="0" w:tplc="08090019">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5" w15:restartNumberingAfterBreak="0">
    <w:nsid w:val="5E453991"/>
    <w:multiLevelType w:val="hybridMultilevel"/>
    <w:tmpl w:val="395AB32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93070"/>
    <w:multiLevelType w:val="hybridMultilevel"/>
    <w:tmpl w:val="6180C540"/>
    <w:lvl w:ilvl="0" w:tplc="C55606C0">
      <w:start w:val="1"/>
      <w:numFmt w:val="bullet"/>
      <w:pStyle w:val="Bulletpointstyle"/>
      <w:lvlText w:val=""/>
      <w:lvlJc w:val="left"/>
      <w:pPr>
        <w:ind w:left="2496" w:hanging="227"/>
      </w:pPr>
      <w:rPr>
        <w:rFonts w:ascii="Symbol" w:hAnsi="Symbol" w:hint="default"/>
        <w:color w:val="16818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431B7"/>
    <w:multiLevelType w:val="hybridMultilevel"/>
    <w:tmpl w:val="AB74F5BE"/>
    <w:lvl w:ilvl="0" w:tplc="292A73F8">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C7241F"/>
    <w:multiLevelType w:val="hybridMultilevel"/>
    <w:tmpl w:val="F0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6"/>
  </w:num>
  <w:num w:numId="4">
    <w:abstractNumId w:val="1"/>
  </w:num>
  <w:num w:numId="5">
    <w:abstractNumId w:val="8"/>
  </w:num>
  <w:num w:numId="6">
    <w:abstractNumId w:val="3"/>
  </w:num>
  <w:num w:numId="7">
    <w:abstractNumId w:val="2"/>
  </w:num>
  <w:num w:numId="8">
    <w:abstractNumId w:val="27"/>
  </w:num>
  <w:num w:numId="9">
    <w:abstractNumId w:val="24"/>
  </w:num>
  <w:num w:numId="10">
    <w:abstractNumId w:val="10"/>
  </w:num>
  <w:num w:numId="11">
    <w:abstractNumId w:val="20"/>
  </w:num>
  <w:num w:numId="12">
    <w:abstractNumId w:val="17"/>
  </w:num>
  <w:num w:numId="13">
    <w:abstractNumId w:val="23"/>
  </w:num>
  <w:num w:numId="14">
    <w:abstractNumId w:val="16"/>
  </w:num>
  <w:num w:numId="15">
    <w:abstractNumId w:val="15"/>
  </w:num>
  <w:num w:numId="16">
    <w:abstractNumId w:val="11"/>
  </w:num>
  <w:num w:numId="17">
    <w:abstractNumId w:val="28"/>
  </w:num>
  <w:num w:numId="18">
    <w:abstractNumId w:val="12"/>
  </w:num>
  <w:num w:numId="19">
    <w:abstractNumId w:val="13"/>
  </w:num>
  <w:num w:numId="20">
    <w:abstractNumId w:val="7"/>
  </w:num>
  <w:num w:numId="21">
    <w:abstractNumId w:val="0"/>
  </w:num>
  <w:num w:numId="22">
    <w:abstractNumId w:val="9"/>
  </w:num>
  <w:num w:numId="23">
    <w:abstractNumId w:val="14"/>
  </w:num>
  <w:num w:numId="24">
    <w:abstractNumId w:val="19"/>
  </w:num>
  <w:num w:numId="25">
    <w:abstractNumId w:val="21"/>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7"/>
  </w:num>
  <w:num w:numId="32">
    <w:abstractNumId w:val="29"/>
  </w:num>
  <w:num w:numId="33">
    <w:abstractNumId w:val="22"/>
  </w:num>
  <w:num w:numId="34">
    <w:abstractNumId w:val="2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JM"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034E8"/>
    <w:rsid w:val="00004A0A"/>
    <w:rsid w:val="000109DF"/>
    <w:rsid w:val="000112F2"/>
    <w:rsid w:val="0001378A"/>
    <w:rsid w:val="000141BF"/>
    <w:rsid w:val="00014F53"/>
    <w:rsid w:val="000169D8"/>
    <w:rsid w:val="00021901"/>
    <w:rsid w:val="00041B71"/>
    <w:rsid w:val="00057080"/>
    <w:rsid w:val="0006456D"/>
    <w:rsid w:val="000661D8"/>
    <w:rsid w:val="00071C9D"/>
    <w:rsid w:val="000729C5"/>
    <w:rsid w:val="00076870"/>
    <w:rsid w:val="00082BC2"/>
    <w:rsid w:val="00086EBD"/>
    <w:rsid w:val="00087708"/>
    <w:rsid w:val="00087C2C"/>
    <w:rsid w:val="0009606C"/>
    <w:rsid w:val="000A38FE"/>
    <w:rsid w:val="000C1E0C"/>
    <w:rsid w:val="000C4AEE"/>
    <w:rsid w:val="000D0060"/>
    <w:rsid w:val="000D33B0"/>
    <w:rsid w:val="000D5C64"/>
    <w:rsid w:val="000F3F9B"/>
    <w:rsid w:val="000F4415"/>
    <w:rsid w:val="000F6787"/>
    <w:rsid w:val="00101A55"/>
    <w:rsid w:val="00103BE1"/>
    <w:rsid w:val="001105CA"/>
    <w:rsid w:val="001159B0"/>
    <w:rsid w:val="001162AD"/>
    <w:rsid w:val="001167EB"/>
    <w:rsid w:val="00124501"/>
    <w:rsid w:val="00125C23"/>
    <w:rsid w:val="001325D0"/>
    <w:rsid w:val="00142629"/>
    <w:rsid w:val="0015595E"/>
    <w:rsid w:val="0016074C"/>
    <w:rsid w:val="0016131C"/>
    <w:rsid w:val="00161EBD"/>
    <w:rsid w:val="0016248C"/>
    <w:rsid w:val="00164FAC"/>
    <w:rsid w:val="001724FE"/>
    <w:rsid w:val="001837EA"/>
    <w:rsid w:val="001842C6"/>
    <w:rsid w:val="0019529D"/>
    <w:rsid w:val="001961CF"/>
    <w:rsid w:val="00197735"/>
    <w:rsid w:val="001A2B4E"/>
    <w:rsid w:val="001A4789"/>
    <w:rsid w:val="001A630E"/>
    <w:rsid w:val="001B10B2"/>
    <w:rsid w:val="001C04EB"/>
    <w:rsid w:val="001C1145"/>
    <w:rsid w:val="001C5D1D"/>
    <w:rsid w:val="001C621E"/>
    <w:rsid w:val="001D0AA1"/>
    <w:rsid w:val="001E2348"/>
    <w:rsid w:val="001E485C"/>
    <w:rsid w:val="0020072D"/>
    <w:rsid w:val="00203393"/>
    <w:rsid w:val="00215FD2"/>
    <w:rsid w:val="0021692F"/>
    <w:rsid w:val="00220097"/>
    <w:rsid w:val="002236E0"/>
    <w:rsid w:val="00223A68"/>
    <w:rsid w:val="0022777F"/>
    <w:rsid w:val="0023289C"/>
    <w:rsid w:val="0023295E"/>
    <w:rsid w:val="002343A4"/>
    <w:rsid w:val="00242394"/>
    <w:rsid w:val="00246332"/>
    <w:rsid w:val="00253D5C"/>
    <w:rsid w:val="0026206E"/>
    <w:rsid w:val="002747FE"/>
    <w:rsid w:val="0027587A"/>
    <w:rsid w:val="002763AB"/>
    <w:rsid w:val="0028194F"/>
    <w:rsid w:val="00285A0C"/>
    <w:rsid w:val="00290D07"/>
    <w:rsid w:val="0029245E"/>
    <w:rsid w:val="002925B9"/>
    <w:rsid w:val="00292E96"/>
    <w:rsid w:val="00297542"/>
    <w:rsid w:val="002A7181"/>
    <w:rsid w:val="002B0138"/>
    <w:rsid w:val="002B5AED"/>
    <w:rsid w:val="002C3C9F"/>
    <w:rsid w:val="002C575F"/>
    <w:rsid w:val="002D25F9"/>
    <w:rsid w:val="002D71D6"/>
    <w:rsid w:val="002D7308"/>
    <w:rsid w:val="002E16A4"/>
    <w:rsid w:val="002F03AA"/>
    <w:rsid w:val="002F342B"/>
    <w:rsid w:val="00305F9E"/>
    <w:rsid w:val="00310094"/>
    <w:rsid w:val="003156A7"/>
    <w:rsid w:val="00315F07"/>
    <w:rsid w:val="0031624F"/>
    <w:rsid w:val="00330CFD"/>
    <w:rsid w:val="00332387"/>
    <w:rsid w:val="00332BDC"/>
    <w:rsid w:val="003503FA"/>
    <w:rsid w:val="00355291"/>
    <w:rsid w:val="003609CE"/>
    <w:rsid w:val="00361FC0"/>
    <w:rsid w:val="00363385"/>
    <w:rsid w:val="003637CB"/>
    <w:rsid w:val="00363FE0"/>
    <w:rsid w:val="00366288"/>
    <w:rsid w:val="003749B1"/>
    <w:rsid w:val="00381EF4"/>
    <w:rsid w:val="00382DC4"/>
    <w:rsid w:val="00383548"/>
    <w:rsid w:val="0038646A"/>
    <w:rsid w:val="00386B46"/>
    <w:rsid w:val="003951A7"/>
    <w:rsid w:val="00396134"/>
    <w:rsid w:val="003B11AC"/>
    <w:rsid w:val="003C3DB7"/>
    <w:rsid w:val="003C42D8"/>
    <w:rsid w:val="003C5C69"/>
    <w:rsid w:val="003D1150"/>
    <w:rsid w:val="003D4D7A"/>
    <w:rsid w:val="003D71EE"/>
    <w:rsid w:val="003E54DA"/>
    <w:rsid w:val="003E6A5C"/>
    <w:rsid w:val="003E74ED"/>
    <w:rsid w:val="003E7C17"/>
    <w:rsid w:val="003F0A4D"/>
    <w:rsid w:val="003F12FC"/>
    <w:rsid w:val="003F5996"/>
    <w:rsid w:val="00401DFF"/>
    <w:rsid w:val="00405E9B"/>
    <w:rsid w:val="00415F5B"/>
    <w:rsid w:val="0041639F"/>
    <w:rsid w:val="004170D5"/>
    <w:rsid w:val="00417C0C"/>
    <w:rsid w:val="00420325"/>
    <w:rsid w:val="00423F20"/>
    <w:rsid w:val="0042690A"/>
    <w:rsid w:val="00437767"/>
    <w:rsid w:val="004551C6"/>
    <w:rsid w:val="0048251E"/>
    <w:rsid w:val="004842E1"/>
    <w:rsid w:val="0049180E"/>
    <w:rsid w:val="004A2853"/>
    <w:rsid w:val="004B5E71"/>
    <w:rsid w:val="004C2355"/>
    <w:rsid w:val="004C25E3"/>
    <w:rsid w:val="004C323F"/>
    <w:rsid w:val="004C324E"/>
    <w:rsid w:val="004D62FE"/>
    <w:rsid w:val="004D7BE7"/>
    <w:rsid w:val="004E60F1"/>
    <w:rsid w:val="004F0A40"/>
    <w:rsid w:val="004F5916"/>
    <w:rsid w:val="005049FB"/>
    <w:rsid w:val="00520419"/>
    <w:rsid w:val="00523A08"/>
    <w:rsid w:val="0052471D"/>
    <w:rsid w:val="00525A43"/>
    <w:rsid w:val="0053217D"/>
    <w:rsid w:val="005375DF"/>
    <w:rsid w:val="005400AC"/>
    <w:rsid w:val="00541577"/>
    <w:rsid w:val="00543C2C"/>
    <w:rsid w:val="00544936"/>
    <w:rsid w:val="005540AA"/>
    <w:rsid w:val="00554F30"/>
    <w:rsid w:val="00562255"/>
    <w:rsid w:val="00562346"/>
    <w:rsid w:val="005639DD"/>
    <w:rsid w:val="00566A37"/>
    <w:rsid w:val="00570DD5"/>
    <w:rsid w:val="00571638"/>
    <w:rsid w:val="005727B4"/>
    <w:rsid w:val="005736B4"/>
    <w:rsid w:val="0057751B"/>
    <w:rsid w:val="0058047A"/>
    <w:rsid w:val="005839E4"/>
    <w:rsid w:val="00593212"/>
    <w:rsid w:val="0059391E"/>
    <w:rsid w:val="00595B42"/>
    <w:rsid w:val="005B0893"/>
    <w:rsid w:val="005B1A98"/>
    <w:rsid w:val="005D1F48"/>
    <w:rsid w:val="005D43BC"/>
    <w:rsid w:val="005D6FA1"/>
    <w:rsid w:val="005E5034"/>
    <w:rsid w:val="005E553F"/>
    <w:rsid w:val="005F45AC"/>
    <w:rsid w:val="005F7D5A"/>
    <w:rsid w:val="0060035E"/>
    <w:rsid w:val="0060173F"/>
    <w:rsid w:val="006077A4"/>
    <w:rsid w:val="00612BF9"/>
    <w:rsid w:val="00615B68"/>
    <w:rsid w:val="006206A7"/>
    <w:rsid w:val="006217CC"/>
    <w:rsid w:val="00622F06"/>
    <w:rsid w:val="00622F3B"/>
    <w:rsid w:val="00625418"/>
    <w:rsid w:val="006424E0"/>
    <w:rsid w:val="006447CF"/>
    <w:rsid w:val="00647E4A"/>
    <w:rsid w:val="00665103"/>
    <w:rsid w:val="00665E92"/>
    <w:rsid w:val="00667A0F"/>
    <w:rsid w:val="00667E43"/>
    <w:rsid w:val="00677CC7"/>
    <w:rsid w:val="00680107"/>
    <w:rsid w:val="00681D19"/>
    <w:rsid w:val="00682ED0"/>
    <w:rsid w:val="00696EF2"/>
    <w:rsid w:val="006A0D68"/>
    <w:rsid w:val="006A1EED"/>
    <w:rsid w:val="006A3B0D"/>
    <w:rsid w:val="006A5B2E"/>
    <w:rsid w:val="006B154C"/>
    <w:rsid w:val="006C01C1"/>
    <w:rsid w:val="006C0EB8"/>
    <w:rsid w:val="006D3D74"/>
    <w:rsid w:val="006D4D18"/>
    <w:rsid w:val="006D5D6A"/>
    <w:rsid w:val="006E4237"/>
    <w:rsid w:val="006E438D"/>
    <w:rsid w:val="006E63C8"/>
    <w:rsid w:val="006F695C"/>
    <w:rsid w:val="00711457"/>
    <w:rsid w:val="007114B4"/>
    <w:rsid w:val="00727132"/>
    <w:rsid w:val="0073299D"/>
    <w:rsid w:val="0074746F"/>
    <w:rsid w:val="007542CF"/>
    <w:rsid w:val="0075537F"/>
    <w:rsid w:val="0075629A"/>
    <w:rsid w:val="00767B57"/>
    <w:rsid w:val="00771638"/>
    <w:rsid w:val="00772D22"/>
    <w:rsid w:val="00783E19"/>
    <w:rsid w:val="00783F9C"/>
    <w:rsid w:val="007848EB"/>
    <w:rsid w:val="00790AF1"/>
    <w:rsid w:val="00792A60"/>
    <w:rsid w:val="0079401C"/>
    <w:rsid w:val="0079707C"/>
    <w:rsid w:val="007A1269"/>
    <w:rsid w:val="007A3DC3"/>
    <w:rsid w:val="007B5D2C"/>
    <w:rsid w:val="007C040A"/>
    <w:rsid w:val="007C5CB4"/>
    <w:rsid w:val="007C7767"/>
    <w:rsid w:val="007C7A1D"/>
    <w:rsid w:val="007E1B57"/>
    <w:rsid w:val="007F3914"/>
    <w:rsid w:val="00802D11"/>
    <w:rsid w:val="008101C2"/>
    <w:rsid w:val="0081169D"/>
    <w:rsid w:val="00814DEF"/>
    <w:rsid w:val="008233B1"/>
    <w:rsid w:val="00832643"/>
    <w:rsid w:val="00840AE5"/>
    <w:rsid w:val="0084329A"/>
    <w:rsid w:val="00844680"/>
    <w:rsid w:val="00852674"/>
    <w:rsid w:val="00856904"/>
    <w:rsid w:val="00857E8E"/>
    <w:rsid w:val="00860F8B"/>
    <w:rsid w:val="00864F68"/>
    <w:rsid w:val="008659B6"/>
    <w:rsid w:val="00866713"/>
    <w:rsid w:val="0086716A"/>
    <w:rsid w:val="008676DF"/>
    <w:rsid w:val="0087146D"/>
    <w:rsid w:val="00880D53"/>
    <w:rsid w:val="00882766"/>
    <w:rsid w:val="008877C3"/>
    <w:rsid w:val="00891274"/>
    <w:rsid w:val="008918F7"/>
    <w:rsid w:val="008919CD"/>
    <w:rsid w:val="00893527"/>
    <w:rsid w:val="008953A3"/>
    <w:rsid w:val="00896909"/>
    <w:rsid w:val="00897A3A"/>
    <w:rsid w:val="008A0748"/>
    <w:rsid w:val="008B0C9E"/>
    <w:rsid w:val="008B4850"/>
    <w:rsid w:val="008C7053"/>
    <w:rsid w:val="008D3EDA"/>
    <w:rsid w:val="008D6BF4"/>
    <w:rsid w:val="008D6C51"/>
    <w:rsid w:val="008E628D"/>
    <w:rsid w:val="008F2936"/>
    <w:rsid w:val="008F4F3C"/>
    <w:rsid w:val="00906A57"/>
    <w:rsid w:val="00906E81"/>
    <w:rsid w:val="00917160"/>
    <w:rsid w:val="0092421C"/>
    <w:rsid w:val="0093240A"/>
    <w:rsid w:val="009369FC"/>
    <w:rsid w:val="00945D07"/>
    <w:rsid w:val="00971F6F"/>
    <w:rsid w:val="009B0C13"/>
    <w:rsid w:val="009B301E"/>
    <w:rsid w:val="009B5B03"/>
    <w:rsid w:val="009C2E48"/>
    <w:rsid w:val="009C377D"/>
    <w:rsid w:val="009C4379"/>
    <w:rsid w:val="009C6FD2"/>
    <w:rsid w:val="009D732D"/>
    <w:rsid w:val="009E3211"/>
    <w:rsid w:val="009F0422"/>
    <w:rsid w:val="009F237D"/>
    <w:rsid w:val="009F6FAA"/>
    <w:rsid w:val="00A054D8"/>
    <w:rsid w:val="00A061B8"/>
    <w:rsid w:val="00A06C15"/>
    <w:rsid w:val="00A10796"/>
    <w:rsid w:val="00A11911"/>
    <w:rsid w:val="00A159BD"/>
    <w:rsid w:val="00A233EB"/>
    <w:rsid w:val="00A264F8"/>
    <w:rsid w:val="00A27EE7"/>
    <w:rsid w:val="00A30570"/>
    <w:rsid w:val="00A412AB"/>
    <w:rsid w:val="00A41711"/>
    <w:rsid w:val="00A551B9"/>
    <w:rsid w:val="00A55DE8"/>
    <w:rsid w:val="00A61E4B"/>
    <w:rsid w:val="00A62EE1"/>
    <w:rsid w:val="00A64B94"/>
    <w:rsid w:val="00A77AC7"/>
    <w:rsid w:val="00A92D3B"/>
    <w:rsid w:val="00A97F41"/>
    <w:rsid w:val="00AA2FDC"/>
    <w:rsid w:val="00AA4DA5"/>
    <w:rsid w:val="00AA5C7E"/>
    <w:rsid w:val="00AB022E"/>
    <w:rsid w:val="00AB0731"/>
    <w:rsid w:val="00AB0953"/>
    <w:rsid w:val="00AB18CD"/>
    <w:rsid w:val="00AB435C"/>
    <w:rsid w:val="00AC0BF6"/>
    <w:rsid w:val="00AC2C1C"/>
    <w:rsid w:val="00AF7230"/>
    <w:rsid w:val="00B20FC1"/>
    <w:rsid w:val="00B21332"/>
    <w:rsid w:val="00B2323E"/>
    <w:rsid w:val="00B303AC"/>
    <w:rsid w:val="00B41036"/>
    <w:rsid w:val="00B45531"/>
    <w:rsid w:val="00B47123"/>
    <w:rsid w:val="00B52CFD"/>
    <w:rsid w:val="00B63D17"/>
    <w:rsid w:val="00B65B0E"/>
    <w:rsid w:val="00B75280"/>
    <w:rsid w:val="00B773B6"/>
    <w:rsid w:val="00B8017E"/>
    <w:rsid w:val="00B804DF"/>
    <w:rsid w:val="00B84BF1"/>
    <w:rsid w:val="00B85779"/>
    <w:rsid w:val="00B94E0D"/>
    <w:rsid w:val="00B95038"/>
    <w:rsid w:val="00BA3C86"/>
    <w:rsid w:val="00BA6578"/>
    <w:rsid w:val="00BB359B"/>
    <w:rsid w:val="00BB4670"/>
    <w:rsid w:val="00BB5573"/>
    <w:rsid w:val="00BC0DD5"/>
    <w:rsid w:val="00BC5999"/>
    <w:rsid w:val="00BC63C8"/>
    <w:rsid w:val="00BD7993"/>
    <w:rsid w:val="00BE56FC"/>
    <w:rsid w:val="00BF379F"/>
    <w:rsid w:val="00C07377"/>
    <w:rsid w:val="00C154F1"/>
    <w:rsid w:val="00C1759C"/>
    <w:rsid w:val="00C2030C"/>
    <w:rsid w:val="00C246BB"/>
    <w:rsid w:val="00C26905"/>
    <w:rsid w:val="00C30BBA"/>
    <w:rsid w:val="00C311C4"/>
    <w:rsid w:val="00C31885"/>
    <w:rsid w:val="00C36517"/>
    <w:rsid w:val="00C47A09"/>
    <w:rsid w:val="00C502E3"/>
    <w:rsid w:val="00C51F13"/>
    <w:rsid w:val="00C524AD"/>
    <w:rsid w:val="00C55D83"/>
    <w:rsid w:val="00C56F26"/>
    <w:rsid w:val="00C65426"/>
    <w:rsid w:val="00C66DD5"/>
    <w:rsid w:val="00C67445"/>
    <w:rsid w:val="00C72CEB"/>
    <w:rsid w:val="00C84EED"/>
    <w:rsid w:val="00C85F7F"/>
    <w:rsid w:val="00CA134F"/>
    <w:rsid w:val="00CA2AF5"/>
    <w:rsid w:val="00CB7599"/>
    <w:rsid w:val="00CC3E90"/>
    <w:rsid w:val="00CC45C4"/>
    <w:rsid w:val="00CC4A48"/>
    <w:rsid w:val="00CD00AF"/>
    <w:rsid w:val="00CD0D36"/>
    <w:rsid w:val="00CD0FBA"/>
    <w:rsid w:val="00CD10F1"/>
    <w:rsid w:val="00CD1269"/>
    <w:rsid w:val="00CD448F"/>
    <w:rsid w:val="00CD65FB"/>
    <w:rsid w:val="00CE04E1"/>
    <w:rsid w:val="00CE1150"/>
    <w:rsid w:val="00D01283"/>
    <w:rsid w:val="00D02A0C"/>
    <w:rsid w:val="00D0505E"/>
    <w:rsid w:val="00D05909"/>
    <w:rsid w:val="00D077D1"/>
    <w:rsid w:val="00D13A77"/>
    <w:rsid w:val="00D1446D"/>
    <w:rsid w:val="00D21830"/>
    <w:rsid w:val="00D255B3"/>
    <w:rsid w:val="00D26953"/>
    <w:rsid w:val="00D32865"/>
    <w:rsid w:val="00D37D03"/>
    <w:rsid w:val="00D42371"/>
    <w:rsid w:val="00D44520"/>
    <w:rsid w:val="00D5002E"/>
    <w:rsid w:val="00D613F6"/>
    <w:rsid w:val="00D63C38"/>
    <w:rsid w:val="00D63FC6"/>
    <w:rsid w:val="00D64C15"/>
    <w:rsid w:val="00D6673E"/>
    <w:rsid w:val="00D66BA8"/>
    <w:rsid w:val="00D76CF1"/>
    <w:rsid w:val="00D844F8"/>
    <w:rsid w:val="00D858C9"/>
    <w:rsid w:val="00D92D1D"/>
    <w:rsid w:val="00D969B3"/>
    <w:rsid w:val="00DA276F"/>
    <w:rsid w:val="00DB2F74"/>
    <w:rsid w:val="00DB4A64"/>
    <w:rsid w:val="00DB7623"/>
    <w:rsid w:val="00DD0FA7"/>
    <w:rsid w:val="00DD39D8"/>
    <w:rsid w:val="00DD3CD5"/>
    <w:rsid w:val="00DE3951"/>
    <w:rsid w:val="00DE3B8F"/>
    <w:rsid w:val="00DE5686"/>
    <w:rsid w:val="00DE6773"/>
    <w:rsid w:val="00DF1D39"/>
    <w:rsid w:val="00E06BD8"/>
    <w:rsid w:val="00E06E5E"/>
    <w:rsid w:val="00E12D16"/>
    <w:rsid w:val="00E30111"/>
    <w:rsid w:val="00E33B1D"/>
    <w:rsid w:val="00E36768"/>
    <w:rsid w:val="00E36B91"/>
    <w:rsid w:val="00E37425"/>
    <w:rsid w:val="00E40D85"/>
    <w:rsid w:val="00E63D80"/>
    <w:rsid w:val="00E7200F"/>
    <w:rsid w:val="00E77A3F"/>
    <w:rsid w:val="00E8300B"/>
    <w:rsid w:val="00E83825"/>
    <w:rsid w:val="00E86071"/>
    <w:rsid w:val="00E96FD4"/>
    <w:rsid w:val="00E97737"/>
    <w:rsid w:val="00EA2403"/>
    <w:rsid w:val="00EA5A0A"/>
    <w:rsid w:val="00EB03DE"/>
    <w:rsid w:val="00EB0648"/>
    <w:rsid w:val="00EB48B8"/>
    <w:rsid w:val="00EB512D"/>
    <w:rsid w:val="00EB6A94"/>
    <w:rsid w:val="00EB6F55"/>
    <w:rsid w:val="00EB765A"/>
    <w:rsid w:val="00EC02C8"/>
    <w:rsid w:val="00EC088D"/>
    <w:rsid w:val="00EC2FE0"/>
    <w:rsid w:val="00EC5477"/>
    <w:rsid w:val="00ED200D"/>
    <w:rsid w:val="00ED5004"/>
    <w:rsid w:val="00EE5BBF"/>
    <w:rsid w:val="00EF3C6E"/>
    <w:rsid w:val="00F001DC"/>
    <w:rsid w:val="00F067D9"/>
    <w:rsid w:val="00F1399B"/>
    <w:rsid w:val="00F14B4F"/>
    <w:rsid w:val="00F14B61"/>
    <w:rsid w:val="00F2127A"/>
    <w:rsid w:val="00F214F4"/>
    <w:rsid w:val="00F222C1"/>
    <w:rsid w:val="00F25B40"/>
    <w:rsid w:val="00F26440"/>
    <w:rsid w:val="00F30C6D"/>
    <w:rsid w:val="00F363C7"/>
    <w:rsid w:val="00F43B4C"/>
    <w:rsid w:val="00F457E3"/>
    <w:rsid w:val="00F54E38"/>
    <w:rsid w:val="00F55C02"/>
    <w:rsid w:val="00F75D80"/>
    <w:rsid w:val="00F85020"/>
    <w:rsid w:val="00F86CB3"/>
    <w:rsid w:val="00F90823"/>
    <w:rsid w:val="00F951C5"/>
    <w:rsid w:val="00FA263F"/>
    <w:rsid w:val="00FA6EF5"/>
    <w:rsid w:val="00FB056A"/>
    <w:rsid w:val="00FB2F52"/>
    <w:rsid w:val="00FC35E0"/>
    <w:rsid w:val="00FC3ECC"/>
    <w:rsid w:val="00FC3FA1"/>
    <w:rsid w:val="00FC450D"/>
    <w:rsid w:val="00FC553A"/>
    <w:rsid w:val="00FC5741"/>
    <w:rsid w:val="00FC5BBE"/>
    <w:rsid w:val="00FC7C60"/>
    <w:rsid w:val="00FD6581"/>
    <w:rsid w:val="00FD7D64"/>
    <w:rsid w:val="00FE0A7A"/>
    <w:rsid w:val="00FE1F4E"/>
    <w:rsid w:val="00FE332B"/>
    <w:rsid w:val="00FE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62F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lang w:val="en-GB"/>
    </w:rPr>
  </w:style>
  <w:style w:type="paragraph" w:styleId="Heading1">
    <w:name w:val="heading 1"/>
    <w:basedOn w:val="Subtitle"/>
    <w:next w:val="BodyText"/>
    <w:link w:val="Heading1Char"/>
    <w:uiPriority w:val="9"/>
    <w:qFormat/>
    <w:rsid w:val="00D26953"/>
    <w:pPr>
      <w:spacing w:after="284" w:line="480" w:lineRule="exact"/>
      <w:outlineLvl w:val="0"/>
    </w:pPr>
    <w:rPr>
      <w:bCs w:val="0"/>
      <w:sz w:val="40"/>
      <w:szCs w:val="40"/>
    </w:rPr>
  </w:style>
  <w:style w:type="paragraph" w:styleId="Heading2">
    <w:name w:val="heading 2"/>
    <w:basedOn w:val="Normal"/>
    <w:next w:val="Normal"/>
    <w:link w:val="Heading2Char"/>
    <w:unhideWhenUsed/>
    <w:qFormat/>
    <w:rsid w:val="00B94E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94E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5996"/>
    <w:pPr>
      <w:tabs>
        <w:tab w:val="center" w:pos="4680"/>
        <w:tab w:val="right" w:pos="9360"/>
      </w:tabs>
    </w:pPr>
  </w:style>
  <w:style w:type="character" w:customStyle="1" w:styleId="HeaderChar">
    <w:name w:val="Header Char"/>
    <w:basedOn w:val="DefaultParagraphFont"/>
    <w:link w:val="Header"/>
    <w:rsid w:val="003F5996"/>
  </w:style>
  <w:style w:type="paragraph" w:customStyle="1" w:styleId="Bulletpointstyle">
    <w:name w:val="Bullet point style"/>
    <w:basedOn w:val="MainText"/>
    <w:qFormat/>
    <w:rsid w:val="00792A60"/>
    <w:pPr>
      <w:numPr>
        <w:numId w:val="8"/>
      </w:numPr>
      <w:spacing w:after="40"/>
      <w:ind w:left="227"/>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D26953"/>
    <w:pPr>
      <w:spacing w:before="240" w:after="85" w:line="300" w:lineRule="exact"/>
    </w:pPr>
    <w:rPr>
      <w:rFonts w:cs="Tahoma"/>
      <w:b/>
      <w:bCs/>
      <w:color w:val="16818D"/>
      <w:sz w:val="28"/>
      <w:szCs w:val="28"/>
    </w:rPr>
  </w:style>
  <w:style w:type="character" w:customStyle="1" w:styleId="SubtitleChar">
    <w:name w:val="Subtitle Char"/>
    <w:basedOn w:val="DefaultParagraphFont"/>
    <w:link w:val="Subtitle"/>
    <w:uiPriority w:val="11"/>
    <w:rsid w:val="00D26953"/>
    <w:rPr>
      <w:rFonts w:ascii="Tahoma" w:hAnsi="Tahoma" w:cs="Tahoma"/>
      <w:b/>
      <w:bCs/>
      <w:color w:val="16818D"/>
      <w:sz w:val="28"/>
      <w:szCs w:val="28"/>
    </w:rPr>
  </w:style>
  <w:style w:type="character" w:customStyle="1" w:styleId="Heading1Char">
    <w:name w:val="Heading 1 Char"/>
    <w:basedOn w:val="DefaultParagraphFont"/>
    <w:link w:val="Heading1"/>
    <w:uiPriority w:val="9"/>
    <w:rsid w:val="00D26953"/>
    <w:rPr>
      <w:rFonts w:ascii="Tahoma" w:hAnsi="Tahoma" w:cs="Tahoma"/>
      <w:b/>
      <w:color w:val="16818D"/>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unhideWhenUsed/>
    <w:rsid w:val="003C5C69"/>
    <w:rPr>
      <w:rFonts w:ascii="Tahoma" w:hAnsi="Tahoma"/>
      <w:b w:val="0"/>
      <w:bCs w:val="0"/>
      <w:i w:val="0"/>
      <w:iCs w:val="0"/>
      <w:sz w:val="18"/>
      <w:szCs w:val="20"/>
    </w:rPr>
  </w:style>
  <w:style w:type="table" w:styleId="TableGrid">
    <w:name w:val="Table Grid"/>
    <w:basedOn w:val="TableNormal"/>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character" w:customStyle="1" w:styleId="Heading2Char">
    <w:name w:val="Heading 2 Char"/>
    <w:basedOn w:val="DefaultParagraphFont"/>
    <w:link w:val="Heading2"/>
    <w:rsid w:val="00B94E0D"/>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B94E0D"/>
    <w:rPr>
      <w:rFonts w:asciiTheme="majorHAnsi" w:eastAsiaTheme="majorEastAsia" w:hAnsiTheme="majorHAnsi" w:cstheme="majorBidi"/>
      <w:color w:val="1F4D78" w:themeColor="accent1" w:themeShade="7F"/>
      <w:sz w:val="24"/>
      <w:szCs w:val="24"/>
      <w:lang w:val="en-GB"/>
    </w:rPr>
  </w:style>
  <w:style w:type="paragraph" w:customStyle="1" w:styleId="DocumentLabel">
    <w:name w:val="Document Label"/>
    <w:basedOn w:val="Normal"/>
    <w:uiPriority w:val="99"/>
    <w:rsid w:val="00B94E0D"/>
    <w:pPr>
      <w:keepNext/>
      <w:keepLines/>
      <w:spacing w:before="240" w:after="360"/>
    </w:pPr>
    <w:rPr>
      <w:rFonts w:ascii="Times New Roman" w:eastAsia="Times New Roman" w:hAnsi="Times New Roman" w:cs="Times New Roman"/>
      <w:b/>
      <w:kern w:val="28"/>
      <w:sz w:val="36"/>
      <w:lang w:val="en-US" w:eastAsia="en-GB"/>
    </w:rPr>
  </w:style>
  <w:style w:type="character" w:styleId="Hyperlink">
    <w:name w:val="Hyperlink"/>
    <w:basedOn w:val="DefaultParagraphFont"/>
    <w:uiPriority w:val="99"/>
    <w:rsid w:val="00B94E0D"/>
    <w:rPr>
      <w:rFonts w:cs="Times New Roman"/>
      <w:color w:val="0000FF"/>
      <w:u w:val="single"/>
    </w:rPr>
  </w:style>
  <w:style w:type="character" w:styleId="CommentReference">
    <w:name w:val="annotation reference"/>
    <w:basedOn w:val="DefaultParagraphFont"/>
    <w:rsid w:val="00B94E0D"/>
    <w:rPr>
      <w:rFonts w:cs="Times New Roman"/>
      <w:sz w:val="16"/>
      <w:szCs w:val="16"/>
    </w:rPr>
  </w:style>
  <w:style w:type="paragraph" w:styleId="CommentText">
    <w:name w:val="annotation text"/>
    <w:basedOn w:val="Normal"/>
    <w:link w:val="CommentTextChar"/>
    <w:rsid w:val="00B94E0D"/>
    <w:pPr>
      <w:spacing w:after="200" w:line="276" w:lineRule="auto"/>
    </w:pPr>
    <w:rPr>
      <w:rFonts w:ascii="Arial" w:eastAsia="Calibri" w:hAnsi="Arial"/>
      <w:sz w:val="20"/>
    </w:rPr>
  </w:style>
  <w:style w:type="character" w:customStyle="1" w:styleId="CommentTextChar">
    <w:name w:val="Comment Text Char"/>
    <w:basedOn w:val="DefaultParagraphFont"/>
    <w:link w:val="CommentText"/>
    <w:rsid w:val="00B94E0D"/>
    <w:rPr>
      <w:rFonts w:ascii="Arial" w:eastAsia="Calibri" w:hAnsi="Arial"/>
      <w:lang w:val="en-GB"/>
    </w:rPr>
  </w:style>
  <w:style w:type="paragraph" w:styleId="CommentSubject">
    <w:name w:val="annotation subject"/>
    <w:basedOn w:val="CommentText"/>
    <w:next w:val="CommentText"/>
    <w:link w:val="CommentSubjectChar"/>
    <w:uiPriority w:val="99"/>
    <w:semiHidden/>
    <w:rsid w:val="00B94E0D"/>
    <w:rPr>
      <w:b/>
      <w:bCs/>
    </w:rPr>
  </w:style>
  <w:style w:type="character" w:customStyle="1" w:styleId="CommentSubjectChar">
    <w:name w:val="Comment Subject Char"/>
    <w:basedOn w:val="CommentTextChar"/>
    <w:link w:val="CommentSubject"/>
    <w:uiPriority w:val="99"/>
    <w:semiHidden/>
    <w:rsid w:val="00B94E0D"/>
    <w:rPr>
      <w:rFonts w:ascii="Arial" w:eastAsia="Calibri" w:hAnsi="Arial"/>
      <w:b/>
      <w:bCs/>
      <w:lang w:val="en-GB"/>
    </w:rPr>
  </w:style>
  <w:style w:type="paragraph" w:styleId="BalloonText">
    <w:name w:val="Balloon Text"/>
    <w:basedOn w:val="Normal"/>
    <w:link w:val="BalloonTextChar"/>
    <w:uiPriority w:val="99"/>
    <w:semiHidden/>
    <w:rsid w:val="00B94E0D"/>
    <w:pPr>
      <w:spacing w:after="200" w:line="276" w:lineRule="auto"/>
    </w:pPr>
    <w:rPr>
      <w:rFonts w:eastAsia="Calibri" w:cs="Tahoma"/>
      <w:sz w:val="16"/>
      <w:szCs w:val="16"/>
    </w:rPr>
  </w:style>
  <w:style w:type="character" w:customStyle="1" w:styleId="BalloonTextChar">
    <w:name w:val="Balloon Text Char"/>
    <w:basedOn w:val="DefaultParagraphFont"/>
    <w:link w:val="BalloonText"/>
    <w:uiPriority w:val="99"/>
    <w:semiHidden/>
    <w:rsid w:val="00B94E0D"/>
    <w:rPr>
      <w:rFonts w:ascii="Tahoma" w:eastAsia="Calibri" w:hAnsi="Tahoma" w:cs="Tahoma"/>
      <w:sz w:val="16"/>
      <w:szCs w:val="16"/>
      <w:lang w:val="en-GB"/>
    </w:rPr>
  </w:style>
  <w:style w:type="paragraph" w:styleId="ListParagraph">
    <w:name w:val="List Paragraph"/>
    <w:basedOn w:val="Normal"/>
    <w:uiPriority w:val="99"/>
    <w:qFormat/>
    <w:rsid w:val="00B94E0D"/>
    <w:pPr>
      <w:spacing w:after="200" w:line="276" w:lineRule="auto"/>
      <w:ind w:left="720"/>
      <w:contextualSpacing/>
    </w:pPr>
    <w:rPr>
      <w:rFonts w:ascii="Arial" w:eastAsia="Calibri" w:hAnsi="Arial"/>
      <w:szCs w:val="22"/>
    </w:rPr>
  </w:style>
  <w:style w:type="paragraph" w:styleId="FootnoteText">
    <w:name w:val="footnote text"/>
    <w:basedOn w:val="Normal"/>
    <w:link w:val="FootnoteTextChar"/>
    <w:uiPriority w:val="99"/>
    <w:semiHidden/>
    <w:rsid w:val="00B94E0D"/>
    <w:rPr>
      <w:rFonts w:ascii="Arial" w:eastAsia="Calibri" w:hAnsi="Arial"/>
      <w:sz w:val="20"/>
    </w:rPr>
  </w:style>
  <w:style w:type="character" w:customStyle="1" w:styleId="FootnoteTextChar">
    <w:name w:val="Footnote Text Char"/>
    <w:basedOn w:val="DefaultParagraphFont"/>
    <w:link w:val="FootnoteText"/>
    <w:uiPriority w:val="99"/>
    <w:semiHidden/>
    <w:rsid w:val="00B94E0D"/>
    <w:rPr>
      <w:rFonts w:ascii="Arial" w:eastAsia="Calibri" w:hAnsi="Arial"/>
      <w:lang w:val="en-GB"/>
    </w:rPr>
  </w:style>
  <w:style w:type="character" w:styleId="FootnoteReference">
    <w:name w:val="footnote reference"/>
    <w:basedOn w:val="DefaultParagraphFont"/>
    <w:uiPriority w:val="99"/>
    <w:rsid w:val="00B94E0D"/>
    <w:rPr>
      <w:rFonts w:cs="Times New Roman"/>
      <w:vertAlign w:val="superscript"/>
    </w:rPr>
  </w:style>
  <w:style w:type="paragraph" w:styleId="Revision">
    <w:name w:val="Revision"/>
    <w:hidden/>
    <w:uiPriority w:val="99"/>
    <w:semiHidden/>
    <w:rsid w:val="00B94E0D"/>
    <w:rPr>
      <w:rFonts w:ascii="Arial" w:eastAsia="Calibri" w:hAnsi="Arial"/>
      <w:sz w:val="22"/>
      <w:szCs w:val="22"/>
      <w:lang w:val="en-GB"/>
    </w:rPr>
  </w:style>
  <w:style w:type="paragraph" w:customStyle="1" w:styleId="Default">
    <w:name w:val="Default"/>
    <w:rsid w:val="00B94E0D"/>
    <w:pPr>
      <w:autoSpaceDE w:val="0"/>
      <w:autoSpaceDN w:val="0"/>
      <w:adjustRightInd w:val="0"/>
    </w:pPr>
    <w:rPr>
      <w:rFonts w:ascii="Arial" w:eastAsia="SimSun" w:hAnsi="Arial"/>
      <w:color w:val="000000"/>
      <w:sz w:val="24"/>
      <w:szCs w:val="24"/>
      <w:lang w:val="en-GB" w:eastAsia="en-GB"/>
    </w:rPr>
  </w:style>
  <w:style w:type="paragraph" w:styleId="BodyText2">
    <w:name w:val="Body Text 2"/>
    <w:basedOn w:val="Normal"/>
    <w:link w:val="BodyText2Char"/>
    <w:uiPriority w:val="99"/>
    <w:rsid w:val="00B94E0D"/>
    <w:pPr>
      <w:jc w:val="both"/>
    </w:pPr>
    <w:rPr>
      <w:rFonts w:ascii="Arial" w:eastAsia="Times New Roman" w:hAnsi="Arial" w:cs="Times New Roman"/>
      <w:b/>
      <w:bCs/>
      <w:szCs w:val="24"/>
    </w:rPr>
  </w:style>
  <w:style w:type="character" w:customStyle="1" w:styleId="BodyText2Char">
    <w:name w:val="Body Text 2 Char"/>
    <w:basedOn w:val="DefaultParagraphFont"/>
    <w:link w:val="BodyText2"/>
    <w:uiPriority w:val="99"/>
    <w:rsid w:val="00B94E0D"/>
    <w:rPr>
      <w:rFonts w:ascii="Arial" w:eastAsia="Times New Roman" w:hAnsi="Arial" w:cs="Times New Roman"/>
      <w:b/>
      <w:bCs/>
      <w:sz w:val="22"/>
      <w:szCs w:val="24"/>
      <w:lang w:val="en-GB"/>
    </w:rPr>
  </w:style>
  <w:style w:type="paragraph" w:styleId="TOCHeading">
    <w:name w:val="TOC Heading"/>
    <w:basedOn w:val="Heading1"/>
    <w:next w:val="Normal"/>
    <w:uiPriority w:val="39"/>
    <w:unhideWhenUsed/>
    <w:qFormat/>
    <w:rsid w:val="00B94E0D"/>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rsid w:val="00B94E0D"/>
    <w:pPr>
      <w:tabs>
        <w:tab w:val="right" w:leader="dot" w:pos="8505"/>
      </w:tabs>
      <w:spacing w:after="100" w:line="276" w:lineRule="auto"/>
      <w:ind w:right="-483"/>
    </w:pPr>
    <w:rPr>
      <w:rFonts w:ascii="Arial" w:eastAsia="Calibri" w:hAnsi="Arial"/>
      <w:noProof/>
      <w:sz w:val="20"/>
    </w:rPr>
  </w:style>
  <w:style w:type="paragraph" w:styleId="TOC2">
    <w:name w:val="toc 2"/>
    <w:basedOn w:val="Normal"/>
    <w:next w:val="Normal"/>
    <w:autoRedefine/>
    <w:uiPriority w:val="39"/>
    <w:rsid w:val="00B94E0D"/>
    <w:pPr>
      <w:tabs>
        <w:tab w:val="right" w:leader="dot" w:pos="8296"/>
      </w:tabs>
      <w:spacing w:after="100" w:line="360" w:lineRule="auto"/>
      <w:ind w:left="220"/>
    </w:pPr>
    <w:rPr>
      <w:rFonts w:ascii="Arial" w:eastAsia="Calibri" w:hAnsi="Arial"/>
      <w:szCs w:val="22"/>
    </w:rPr>
  </w:style>
  <w:style w:type="paragraph" w:customStyle="1" w:styleId="Pa15">
    <w:name w:val="Pa15"/>
    <w:basedOn w:val="Normal"/>
    <w:uiPriority w:val="99"/>
    <w:rsid w:val="00B94E0D"/>
    <w:pPr>
      <w:autoSpaceDE w:val="0"/>
      <w:autoSpaceDN w:val="0"/>
      <w:spacing w:line="321" w:lineRule="atLeast"/>
    </w:pPr>
    <w:rPr>
      <w:rFonts w:ascii="Arial" w:hAnsi="Arial"/>
      <w:sz w:val="24"/>
      <w:szCs w:val="24"/>
      <w:lang w:eastAsia="en-GB"/>
    </w:rPr>
  </w:style>
  <w:style w:type="paragraph" w:customStyle="1" w:styleId="Pa5">
    <w:name w:val="Pa5"/>
    <w:basedOn w:val="Normal"/>
    <w:uiPriority w:val="99"/>
    <w:rsid w:val="00B94E0D"/>
    <w:pPr>
      <w:autoSpaceDE w:val="0"/>
      <w:autoSpaceDN w:val="0"/>
      <w:spacing w:line="241" w:lineRule="atLeast"/>
    </w:pPr>
    <w:rPr>
      <w:rFonts w:ascii="Arial" w:hAnsi="Arial"/>
      <w:sz w:val="24"/>
      <w:szCs w:val="24"/>
      <w:lang w:eastAsia="en-GB"/>
    </w:rPr>
  </w:style>
  <w:style w:type="character" w:customStyle="1" w:styleId="A1">
    <w:name w:val="A1"/>
    <w:basedOn w:val="DefaultParagraphFont"/>
    <w:uiPriority w:val="99"/>
    <w:rsid w:val="00B94E0D"/>
    <w:rPr>
      <w:color w:val="221E1F"/>
    </w:rPr>
  </w:style>
  <w:style w:type="character" w:styleId="FollowedHyperlink">
    <w:name w:val="FollowedHyperlink"/>
    <w:basedOn w:val="DefaultParagraphFont"/>
    <w:uiPriority w:val="99"/>
    <w:semiHidden/>
    <w:unhideWhenUsed/>
    <w:rsid w:val="00B94E0D"/>
    <w:rPr>
      <w:color w:val="954F72" w:themeColor="followedHyperlink"/>
      <w:u w:val="single"/>
    </w:rPr>
  </w:style>
  <w:style w:type="paragraph" w:styleId="TOC3">
    <w:name w:val="toc 3"/>
    <w:basedOn w:val="Normal"/>
    <w:next w:val="Normal"/>
    <w:autoRedefine/>
    <w:uiPriority w:val="39"/>
    <w:rsid w:val="00B94E0D"/>
    <w:pPr>
      <w:spacing w:after="100" w:line="276" w:lineRule="auto"/>
      <w:ind w:left="440"/>
    </w:pPr>
    <w:rPr>
      <w:rFonts w:ascii="Arial" w:eastAsia="Calibri" w:hAnsi="Arial"/>
      <w:szCs w:val="22"/>
    </w:rPr>
  </w:style>
  <w:style w:type="paragraph" w:styleId="NormalWeb">
    <w:name w:val="Normal (Web)"/>
    <w:basedOn w:val="Normal"/>
    <w:uiPriority w:val="99"/>
    <w:semiHidden/>
    <w:unhideWhenUsed/>
    <w:rsid w:val="00B94E0D"/>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B94E0D"/>
    <w:rPr>
      <w:rFonts w:ascii="Arial" w:eastAsia="Calibri" w:hAnsi="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FA263F"/>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FA263F"/>
    <w:rPr>
      <w:rFonts w:ascii="Calibri" w:eastAsia="Times New Roman" w:hAnsi="Calibri" w:cs="Times New Roman"/>
      <w:sz w:val="22"/>
      <w:szCs w:val="21"/>
      <w:lang w:val="en-GB" w:eastAsia="en-GB"/>
    </w:rPr>
  </w:style>
  <w:style w:type="table" w:customStyle="1" w:styleId="TableGrid11">
    <w:name w:val="Table Grid11"/>
    <w:basedOn w:val="TableNormal"/>
    <w:next w:val="TableGrid"/>
    <w:uiPriority w:val="39"/>
    <w:rsid w:val="00647E4A"/>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aintext">
    <w:name w:val="x_maintext"/>
    <w:basedOn w:val="Normal"/>
    <w:rsid w:val="00F457E3"/>
    <w:pPr>
      <w:spacing w:line="320" w:lineRule="atLeast"/>
    </w:pPr>
    <w:rPr>
      <w:rFonts w:cs="Tahoma"/>
      <w:szCs w:val="22"/>
      <w:lang w:eastAsia="en-GB"/>
    </w:rPr>
  </w:style>
  <w:style w:type="character" w:styleId="Strong">
    <w:name w:val="Strong"/>
    <w:basedOn w:val="DefaultParagraphFont"/>
    <w:uiPriority w:val="22"/>
    <w:qFormat/>
    <w:rsid w:val="00A412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819">
      <w:bodyDiv w:val="1"/>
      <w:marLeft w:val="0"/>
      <w:marRight w:val="0"/>
      <w:marTop w:val="0"/>
      <w:marBottom w:val="0"/>
      <w:divBdr>
        <w:top w:val="none" w:sz="0" w:space="0" w:color="auto"/>
        <w:left w:val="none" w:sz="0" w:space="0" w:color="auto"/>
        <w:bottom w:val="none" w:sz="0" w:space="0" w:color="auto"/>
        <w:right w:val="none" w:sz="0" w:space="0" w:color="auto"/>
      </w:divBdr>
    </w:div>
    <w:div w:id="73741146">
      <w:bodyDiv w:val="1"/>
      <w:marLeft w:val="0"/>
      <w:marRight w:val="0"/>
      <w:marTop w:val="0"/>
      <w:marBottom w:val="0"/>
      <w:divBdr>
        <w:top w:val="none" w:sz="0" w:space="0" w:color="auto"/>
        <w:left w:val="none" w:sz="0" w:space="0" w:color="auto"/>
        <w:bottom w:val="none" w:sz="0" w:space="0" w:color="auto"/>
        <w:right w:val="none" w:sz="0" w:space="0" w:color="auto"/>
      </w:divBdr>
    </w:div>
    <w:div w:id="178550570">
      <w:bodyDiv w:val="1"/>
      <w:marLeft w:val="0"/>
      <w:marRight w:val="0"/>
      <w:marTop w:val="0"/>
      <w:marBottom w:val="0"/>
      <w:divBdr>
        <w:top w:val="none" w:sz="0" w:space="0" w:color="auto"/>
        <w:left w:val="none" w:sz="0" w:space="0" w:color="auto"/>
        <w:bottom w:val="none" w:sz="0" w:space="0" w:color="auto"/>
        <w:right w:val="none" w:sz="0" w:space="0" w:color="auto"/>
      </w:divBdr>
    </w:div>
    <w:div w:id="180973803">
      <w:bodyDiv w:val="1"/>
      <w:marLeft w:val="0"/>
      <w:marRight w:val="0"/>
      <w:marTop w:val="0"/>
      <w:marBottom w:val="0"/>
      <w:divBdr>
        <w:top w:val="none" w:sz="0" w:space="0" w:color="auto"/>
        <w:left w:val="none" w:sz="0" w:space="0" w:color="auto"/>
        <w:bottom w:val="none" w:sz="0" w:space="0" w:color="auto"/>
        <w:right w:val="none" w:sz="0" w:space="0" w:color="auto"/>
      </w:divBdr>
    </w:div>
    <w:div w:id="314383731">
      <w:bodyDiv w:val="1"/>
      <w:marLeft w:val="0"/>
      <w:marRight w:val="0"/>
      <w:marTop w:val="0"/>
      <w:marBottom w:val="0"/>
      <w:divBdr>
        <w:top w:val="none" w:sz="0" w:space="0" w:color="auto"/>
        <w:left w:val="none" w:sz="0" w:space="0" w:color="auto"/>
        <w:bottom w:val="none" w:sz="0" w:space="0" w:color="auto"/>
        <w:right w:val="none" w:sz="0" w:space="0" w:color="auto"/>
      </w:divBdr>
    </w:div>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557519738">
      <w:bodyDiv w:val="1"/>
      <w:marLeft w:val="0"/>
      <w:marRight w:val="0"/>
      <w:marTop w:val="0"/>
      <w:marBottom w:val="0"/>
      <w:divBdr>
        <w:top w:val="none" w:sz="0" w:space="0" w:color="auto"/>
        <w:left w:val="none" w:sz="0" w:space="0" w:color="auto"/>
        <w:bottom w:val="none" w:sz="0" w:space="0" w:color="auto"/>
        <w:right w:val="none" w:sz="0" w:space="0" w:color="auto"/>
      </w:divBdr>
    </w:div>
    <w:div w:id="638344589">
      <w:bodyDiv w:val="1"/>
      <w:marLeft w:val="0"/>
      <w:marRight w:val="0"/>
      <w:marTop w:val="0"/>
      <w:marBottom w:val="0"/>
      <w:divBdr>
        <w:top w:val="none" w:sz="0" w:space="0" w:color="auto"/>
        <w:left w:val="none" w:sz="0" w:space="0" w:color="auto"/>
        <w:bottom w:val="none" w:sz="0" w:space="0" w:color="auto"/>
        <w:right w:val="none" w:sz="0" w:space="0" w:color="auto"/>
      </w:divBdr>
    </w:div>
    <w:div w:id="638610668">
      <w:bodyDiv w:val="1"/>
      <w:marLeft w:val="0"/>
      <w:marRight w:val="0"/>
      <w:marTop w:val="0"/>
      <w:marBottom w:val="0"/>
      <w:divBdr>
        <w:top w:val="none" w:sz="0" w:space="0" w:color="auto"/>
        <w:left w:val="none" w:sz="0" w:space="0" w:color="auto"/>
        <w:bottom w:val="none" w:sz="0" w:space="0" w:color="auto"/>
        <w:right w:val="none" w:sz="0" w:space="0" w:color="auto"/>
      </w:divBdr>
    </w:div>
    <w:div w:id="955605205">
      <w:bodyDiv w:val="1"/>
      <w:marLeft w:val="0"/>
      <w:marRight w:val="0"/>
      <w:marTop w:val="0"/>
      <w:marBottom w:val="0"/>
      <w:divBdr>
        <w:top w:val="none" w:sz="0" w:space="0" w:color="auto"/>
        <w:left w:val="none" w:sz="0" w:space="0" w:color="auto"/>
        <w:bottom w:val="none" w:sz="0" w:space="0" w:color="auto"/>
        <w:right w:val="none" w:sz="0" w:space="0" w:color="auto"/>
      </w:divBdr>
    </w:div>
    <w:div w:id="1266501224">
      <w:bodyDiv w:val="1"/>
      <w:marLeft w:val="0"/>
      <w:marRight w:val="0"/>
      <w:marTop w:val="0"/>
      <w:marBottom w:val="0"/>
      <w:divBdr>
        <w:top w:val="none" w:sz="0" w:space="0" w:color="auto"/>
        <w:left w:val="none" w:sz="0" w:space="0" w:color="auto"/>
        <w:bottom w:val="none" w:sz="0" w:space="0" w:color="auto"/>
        <w:right w:val="none" w:sz="0" w:space="0" w:color="auto"/>
      </w:divBdr>
    </w:div>
    <w:div w:id="1334456003">
      <w:bodyDiv w:val="1"/>
      <w:marLeft w:val="0"/>
      <w:marRight w:val="0"/>
      <w:marTop w:val="0"/>
      <w:marBottom w:val="0"/>
      <w:divBdr>
        <w:top w:val="none" w:sz="0" w:space="0" w:color="auto"/>
        <w:left w:val="none" w:sz="0" w:space="0" w:color="auto"/>
        <w:bottom w:val="none" w:sz="0" w:space="0" w:color="auto"/>
        <w:right w:val="none" w:sz="0" w:space="0" w:color="auto"/>
      </w:divBdr>
    </w:div>
    <w:div w:id="1395855854">
      <w:bodyDiv w:val="1"/>
      <w:marLeft w:val="0"/>
      <w:marRight w:val="0"/>
      <w:marTop w:val="0"/>
      <w:marBottom w:val="0"/>
      <w:divBdr>
        <w:top w:val="none" w:sz="0" w:space="0" w:color="auto"/>
        <w:left w:val="none" w:sz="0" w:space="0" w:color="auto"/>
        <w:bottom w:val="none" w:sz="0" w:space="0" w:color="auto"/>
        <w:right w:val="none" w:sz="0" w:space="0" w:color="auto"/>
      </w:divBdr>
    </w:div>
    <w:div w:id="1424105188">
      <w:bodyDiv w:val="1"/>
      <w:marLeft w:val="0"/>
      <w:marRight w:val="0"/>
      <w:marTop w:val="0"/>
      <w:marBottom w:val="0"/>
      <w:divBdr>
        <w:top w:val="none" w:sz="0" w:space="0" w:color="auto"/>
        <w:left w:val="none" w:sz="0" w:space="0" w:color="auto"/>
        <w:bottom w:val="none" w:sz="0" w:space="0" w:color="auto"/>
        <w:right w:val="none" w:sz="0" w:space="0" w:color="auto"/>
      </w:divBdr>
    </w:div>
    <w:div w:id="1715034724">
      <w:bodyDiv w:val="1"/>
      <w:marLeft w:val="0"/>
      <w:marRight w:val="0"/>
      <w:marTop w:val="0"/>
      <w:marBottom w:val="0"/>
      <w:divBdr>
        <w:top w:val="none" w:sz="0" w:space="0" w:color="auto"/>
        <w:left w:val="none" w:sz="0" w:space="0" w:color="auto"/>
        <w:bottom w:val="none" w:sz="0" w:space="0" w:color="auto"/>
        <w:right w:val="none" w:sz="0" w:space="0" w:color="auto"/>
      </w:divBdr>
    </w:div>
    <w:div w:id="1793203464">
      <w:bodyDiv w:val="1"/>
      <w:marLeft w:val="0"/>
      <w:marRight w:val="0"/>
      <w:marTop w:val="0"/>
      <w:marBottom w:val="0"/>
      <w:divBdr>
        <w:top w:val="none" w:sz="0" w:space="0" w:color="auto"/>
        <w:left w:val="none" w:sz="0" w:space="0" w:color="auto"/>
        <w:bottom w:val="none" w:sz="0" w:space="0" w:color="auto"/>
        <w:right w:val="none" w:sz="0" w:space="0" w:color="auto"/>
      </w:divBdr>
    </w:div>
    <w:div w:id="1927105759">
      <w:bodyDiv w:val="1"/>
      <w:marLeft w:val="0"/>
      <w:marRight w:val="0"/>
      <w:marTop w:val="0"/>
      <w:marBottom w:val="0"/>
      <w:divBdr>
        <w:top w:val="none" w:sz="0" w:space="0" w:color="auto"/>
        <w:left w:val="none" w:sz="0" w:space="0" w:color="auto"/>
        <w:bottom w:val="none" w:sz="0" w:space="0" w:color="auto"/>
        <w:right w:val="none" w:sz="0" w:space="0" w:color="auto"/>
      </w:divBdr>
    </w:div>
    <w:div w:id="1928691583">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2.uwe.ac.uk/services/Marketing/students/Student%20advice/Exam-board-code-of-practice.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1.uwe.ac.uk/about/corporateinformation/policies/assessmentandfeedback.aspx"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1.uwe.ac.uk/about/corporateinformation/policies/assessmentandfeedback.aspx" TargetMode="External"/><Relationship Id="rId20" Type="http://schemas.openxmlformats.org/officeDocument/2006/relationships/hyperlink" Target="https://www2.uwe.ac.uk/services/Marketing/students/Student%20advice/Exam-board-code-of-practice.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1.uwe.ac.uk/about/departmentsandservices/professionalservices/studentandacademicservices/regulationspoliciesquality/regulationsandprocedures.aspx" TargetMode="External"/><Relationship Id="rId23" Type="http://schemas.openxmlformats.org/officeDocument/2006/relationships/footer" Target="footer3.xml"/><Relationship Id="rId28" Type="http://schemas.openxmlformats.org/officeDocument/2006/relationships/header" Target="header5.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2.uwe.ac.uk/services/Marketing/students/Student%20advice/Exam-board-code-of-practic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2FC3F4283AECA48BCBDDFCF4103160C" ma:contentTypeVersion="2" ma:contentTypeDescription="Create a new document." ma:contentTypeScope="" ma:versionID="71a29f68b18f52e7e0b329625759c092">
  <xsd:schema xmlns:xsd="http://www.w3.org/2001/XMLSchema" xmlns:xs="http://www.w3.org/2001/XMLSchema" xmlns:p="http://schemas.microsoft.com/office/2006/metadata/properties" xmlns:ns2="037ba92a-5764-4297-b5f7-6ea117412624" xmlns:ns3="3a4ab234-afbc-41ab-b2db-358d80304e46" targetNamespace="http://schemas.microsoft.com/office/2006/metadata/properties" ma:root="true" ma:fieldsID="a458c3587d291faf4ca1653387720a89" ns2:_="" ns3:_="">
    <xsd:import namespace="037ba92a-5764-4297-b5f7-6ea117412624"/>
    <xsd:import namespace="3a4ab234-afbc-41ab-b2db-358d80304e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ba92a-5764-4297-b5f7-6ea1174126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4ab234-afbc-41ab-b2db-358d80304e46" elementFormDefault="qualified">
    <xsd:import namespace="http://schemas.microsoft.com/office/2006/documentManagement/types"/>
    <xsd:import namespace="http://schemas.microsoft.com/office/infopath/2007/PartnerControls"/>
    <xsd:element name="Document_x0020_Type" ma:index="11" nillable="true" ma:displayName="Document Type" ma:default="Main Issue" ma:description="Specify type of document to help with filtered views" ma:format="Dropdown" ma:internalName="Document_x0020_Type">
      <xsd:simpleType>
        <xsd:restriction base="dms:Choice">
          <xsd:enumeration value="Main Issue"/>
          <xsd:enumeration value="Sup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37ba92a-5764-4297-b5f7-6ea117412624">NAYYJSKVSPAS-2-446</_dlc_DocId>
    <_dlc_DocIdUrl xmlns="037ba92a-5764-4297-b5f7-6ea117412624">
      <Url>https://docs.uwe.ac.uk/ou/Communications/_layouts/15/DocIdRedir.aspx?ID=NAYYJSKVSPAS-2-446</Url>
      <Description>NAYYJSKVSPAS-2-446</Description>
    </_dlc_DocIdUrl>
    <Document_x0020_Type xmlns="3a4ab234-afbc-41ab-b2db-358d80304e46">Main Issue</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6BF4-7A82-4DE3-87EA-2EDE6FCE659D}">
  <ds:schemaRefs>
    <ds:schemaRef ds:uri="http://schemas.microsoft.com/sharepoint/events"/>
  </ds:schemaRefs>
</ds:datastoreItem>
</file>

<file path=customXml/itemProps2.xml><?xml version="1.0" encoding="utf-8"?>
<ds:datastoreItem xmlns:ds="http://schemas.openxmlformats.org/officeDocument/2006/customXml" ds:itemID="{862E6EDB-ED4C-46EF-96E6-D94015DFC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ba92a-5764-4297-b5f7-6ea117412624"/>
    <ds:schemaRef ds:uri="3a4ab234-afbc-41ab-b2db-358d80304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981CE-5DFC-4F05-9D93-34C3D2EC9D27}">
  <ds:schemaRefs>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3a4ab234-afbc-41ab-b2db-358d80304e46"/>
    <ds:schemaRef ds:uri="http://schemas.microsoft.com/office/2006/documentManagement/types"/>
    <ds:schemaRef ds:uri="037ba92a-5764-4297-b5f7-6ea117412624"/>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7889C88-DA8C-4A5D-A1C2-DF3FD5EADDBC}">
  <ds:schemaRefs>
    <ds:schemaRef ds:uri="http://schemas.microsoft.com/sharepoint/v3/contenttype/forms"/>
  </ds:schemaRefs>
</ds:datastoreItem>
</file>

<file path=customXml/itemProps5.xml><?xml version="1.0" encoding="utf-8"?>
<ds:datastoreItem xmlns:ds="http://schemas.openxmlformats.org/officeDocument/2006/customXml" ds:itemID="{895B98E7-5277-483E-B29D-F2AFD8D0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6438</Words>
  <Characters>36699</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Horton</dc:creator>
  <cp:keywords/>
  <dc:description/>
  <cp:lastModifiedBy>Tracey Horton</cp:lastModifiedBy>
  <cp:revision>18</cp:revision>
  <cp:lastPrinted>2020-01-09T08:12:00Z</cp:lastPrinted>
  <dcterms:created xsi:type="dcterms:W3CDTF">2020-01-07T14:33:00Z</dcterms:created>
  <dcterms:modified xsi:type="dcterms:W3CDTF">2020-01-20T15:50:00Z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e138d91f-6d93-4264-a3a2-e113cb05b3cb</vt:lpwstr>
  </property>
  <property fmtid="{D5CDD505-2E9C-101B-9397-08002B2CF9AE}" pid="3" name="ContentTypeId">
    <vt:lpwstr>0x01010072FC3F4283AECA48BCBDDFCF4103160C</vt:lpwstr>
  </property>
</Properties>
</file>