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A8379" w14:textId="7A7E14C3" w:rsidR="004B55BF" w:rsidRDefault="00367495" w:rsidP="00C13FA9">
      <w:pPr>
        <w:pStyle w:val="Title"/>
      </w:pPr>
      <w:r>
        <w:t xml:space="preserve">Covid-19 </w:t>
      </w:r>
      <w:r w:rsidR="00A17C91">
        <w:t>P</w:t>
      </w:r>
      <w:r w:rsidR="00964B4D">
        <w:t>ersonal Risk Assessment for Staff</w:t>
      </w:r>
    </w:p>
    <w:p w14:paraId="3F426A1C" w14:textId="77777777" w:rsidR="00964B4D" w:rsidRDefault="00964B4D"/>
    <w:p w14:paraId="74796291" w14:textId="321D832E" w:rsidR="00F96212" w:rsidRDefault="008F4869" w:rsidP="00F96212">
      <w:r>
        <w:t xml:space="preserve">We recognise that some staff will be at higher risk from COVID-19 or may be disproportionately affected at this time. </w:t>
      </w:r>
      <w:r w:rsidR="00F96212">
        <w:t xml:space="preserve">In addition, our Equality Analysis highlighted additional risks for staff which should be considered that are indirectly related to COVID-19 (for example increased challenges for disabled staff in a mixture of home and on campus working). </w:t>
      </w:r>
    </w:p>
    <w:p w14:paraId="3B7C80E7" w14:textId="1F1223F8" w:rsidR="00F96212" w:rsidRDefault="00F96212" w:rsidP="00F96212">
      <w:r>
        <w:t xml:space="preserve">The aim of this Personal Risk Assessment is to understand the specific risks individual staff members face at work – whether they are working on campus or from home and to enable a shared approach to minimising these risks to be undertaken. It should be completed in conjunction with the latest </w:t>
      </w:r>
      <w:hyperlink r:id="rId10">
        <w:r w:rsidRPr="67A4AC7A">
          <w:rPr>
            <w:rStyle w:val="Hyperlink"/>
          </w:rPr>
          <w:t>guidance</w:t>
        </w:r>
      </w:hyperlink>
      <w:r w:rsidR="00E266FF">
        <w:t xml:space="preserve"> from Public Health England and the latest </w:t>
      </w:r>
      <w:hyperlink r:id="rId11" w:history="1">
        <w:r w:rsidR="00E266FF" w:rsidRPr="67A4AC7A">
          <w:rPr>
            <w:rStyle w:val="Hyperlink"/>
          </w:rPr>
          <w:t>guidance</w:t>
        </w:r>
      </w:hyperlink>
      <w:r w:rsidR="00E266FF">
        <w:t xml:space="preserve"> for Managers. </w:t>
      </w:r>
    </w:p>
    <w:p w14:paraId="1657ADBE" w14:textId="0C2ED6A8" w:rsidR="005908F0" w:rsidRDefault="005908F0" w:rsidP="005908F0">
      <w:r>
        <w:t xml:space="preserve">Responsibility for completing Personal Risk Assessment is shared jointly by the individual and their line manager. The Risk Assessment should act as a tool to enable discussion of concerns, wellbeing and should lead to the joint identification of potential mitigations. Not all underlying health conditions or risk factors are routinely shared with line managers and therefore these conversations are potentially sensitive. </w:t>
      </w:r>
      <w:r w:rsidR="00150B51">
        <w:t>It is also importan</w:t>
      </w:r>
      <w:r w:rsidR="005159B6">
        <w:t xml:space="preserve">t that where there may </w:t>
      </w:r>
      <w:r w:rsidR="00710F19">
        <w:t>already</w:t>
      </w:r>
      <w:r w:rsidR="005159B6">
        <w:t xml:space="preserve"> be </w:t>
      </w:r>
      <w:r w:rsidR="00710F19">
        <w:t>individual</w:t>
      </w:r>
      <w:r w:rsidR="005159B6">
        <w:t xml:space="preserve"> </w:t>
      </w:r>
      <w:r w:rsidR="00710F19">
        <w:t>assessments</w:t>
      </w:r>
      <w:r w:rsidR="005159B6">
        <w:t xml:space="preserve"> in </w:t>
      </w:r>
      <w:r w:rsidR="00710F19">
        <w:t>place</w:t>
      </w:r>
      <w:r w:rsidR="005159B6">
        <w:t xml:space="preserve"> for</w:t>
      </w:r>
      <w:r w:rsidR="001D2BD6">
        <w:t xml:space="preserve"> the </w:t>
      </w:r>
      <w:r w:rsidR="00710F19">
        <w:t>member</w:t>
      </w:r>
      <w:r w:rsidR="001D2BD6">
        <w:t xml:space="preserve"> of staff </w:t>
      </w:r>
      <w:r w:rsidR="00AF0376">
        <w:t xml:space="preserve">in </w:t>
      </w:r>
      <w:r w:rsidR="00710F19">
        <w:t>respect of</w:t>
      </w:r>
      <w:r w:rsidR="00D3609E">
        <w:t xml:space="preserve"> any</w:t>
      </w:r>
      <w:r w:rsidR="00EA4371">
        <w:t xml:space="preserve"> health </w:t>
      </w:r>
      <w:r w:rsidR="00710F19">
        <w:t>condition</w:t>
      </w:r>
      <w:r w:rsidR="00EA4371">
        <w:t xml:space="preserve"> or </w:t>
      </w:r>
      <w:r w:rsidR="00710F19">
        <w:t>wellbeing</w:t>
      </w:r>
      <w:r w:rsidR="006D2CCE">
        <w:t xml:space="preserve"> risk, these should be reviewed in </w:t>
      </w:r>
      <w:r w:rsidR="00710F19">
        <w:t>conjunction</w:t>
      </w:r>
      <w:r w:rsidR="006D2CCE">
        <w:t xml:space="preserve"> with this </w:t>
      </w:r>
      <w:r w:rsidR="00710F19">
        <w:t>assessment</w:t>
      </w:r>
      <w:r w:rsidR="006D2CCE">
        <w:t xml:space="preserve"> so that actions are</w:t>
      </w:r>
      <w:r w:rsidR="0057641A">
        <w:t xml:space="preserve"> </w:t>
      </w:r>
      <w:r w:rsidR="00710F19">
        <w:t>aligned</w:t>
      </w:r>
      <w:r w:rsidR="0057641A">
        <w:t xml:space="preserve">. </w:t>
      </w:r>
    </w:p>
    <w:p w14:paraId="3CB11157" w14:textId="4C820F5A" w:rsidR="005908F0" w:rsidRDefault="005908F0" w:rsidP="005908F0">
      <w:r>
        <w:t xml:space="preserve">Individuals who do not wish to share their Personal Risk Assessment form with their line manager may discuss it in confidence with a member of HR by contacting the </w:t>
      </w:r>
      <w:hyperlink r:id="rId12" w:history="1">
        <w:r w:rsidRPr="67A4AC7A">
          <w:rPr>
            <w:rStyle w:val="Hyperlink"/>
          </w:rPr>
          <w:t>HR helpline</w:t>
        </w:r>
      </w:hyperlink>
      <w:r>
        <w:t xml:space="preserve">. In this case, the HR helpline will share the risk mitigation plan with the line manager without disclosing the reason. </w:t>
      </w:r>
    </w:p>
    <w:p w14:paraId="3493D7FF" w14:textId="421C09C6" w:rsidR="00324A02" w:rsidRDefault="00324A02" w:rsidP="005908F0">
      <w:r>
        <w:t xml:space="preserve">The Personal Risk Assessment sets out: </w:t>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36"/>
        <w:gridCol w:w="7702"/>
      </w:tblGrid>
      <w:tr w:rsidR="00324A02" w14:paraId="69332730" w14:textId="77777777" w:rsidTr="67A4AC7A">
        <w:tc>
          <w:tcPr>
            <w:tcW w:w="6091" w:type="dxa"/>
          </w:tcPr>
          <w:p w14:paraId="3C846B58" w14:textId="3D9BA3A4" w:rsidR="00324A02" w:rsidRPr="00324A02" w:rsidRDefault="00324A02" w:rsidP="005908F0">
            <w:pPr>
              <w:rPr>
                <w:b/>
              </w:rPr>
            </w:pPr>
            <w:r w:rsidRPr="00324A02">
              <w:rPr>
                <w:b/>
              </w:rPr>
              <w:t>Four categories of individual risk</w:t>
            </w:r>
          </w:p>
        </w:tc>
        <w:tc>
          <w:tcPr>
            <w:tcW w:w="236" w:type="dxa"/>
          </w:tcPr>
          <w:p w14:paraId="3F16D0C9" w14:textId="77777777" w:rsidR="00324A02" w:rsidRPr="00324A02" w:rsidRDefault="00324A02" w:rsidP="005908F0">
            <w:pPr>
              <w:rPr>
                <w:b/>
              </w:rPr>
            </w:pPr>
          </w:p>
        </w:tc>
        <w:tc>
          <w:tcPr>
            <w:tcW w:w="7702" w:type="dxa"/>
          </w:tcPr>
          <w:p w14:paraId="69547C58" w14:textId="765C85C6" w:rsidR="00324A02" w:rsidRPr="00324A02" w:rsidRDefault="00324A02" w:rsidP="67A4AC7A">
            <w:pPr>
              <w:rPr>
                <w:b/>
                <w:bCs/>
              </w:rPr>
            </w:pPr>
            <w:r w:rsidRPr="67A4AC7A">
              <w:rPr>
                <w:b/>
                <w:bCs/>
              </w:rPr>
              <w:t>Four categories of risk mitigation</w:t>
            </w:r>
          </w:p>
        </w:tc>
      </w:tr>
      <w:tr w:rsidR="00324A02" w14:paraId="1BF2934E" w14:textId="77777777" w:rsidTr="67A4AC7A">
        <w:tc>
          <w:tcPr>
            <w:tcW w:w="6091" w:type="dxa"/>
          </w:tcPr>
          <w:p w14:paraId="0A297476" w14:textId="77777777" w:rsidR="00324A02" w:rsidRDefault="00324A02" w:rsidP="00324A02">
            <w:pPr>
              <w:pStyle w:val="ListParagraph"/>
              <w:numPr>
                <w:ilvl w:val="0"/>
                <w:numId w:val="1"/>
              </w:numPr>
            </w:pPr>
            <w:r>
              <w:t xml:space="preserve">Those who are </w:t>
            </w:r>
            <w:r w:rsidRPr="004D18AB">
              <w:rPr>
                <w:b/>
              </w:rPr>
              <w:t>clinically extremely vulnerable</w:t>
            </w:r>
            <w:r>
              <w:t xml:space="preserve"> (as defined by PHE)</w:t>
            </w:r>
          </w:p>
          <w:p w14:paraId="73657AF3" w14:textId="77777777" w:rsidR="00324A02" w:rsidRDefault="00324A02" w:rsidP="00324A02">
            <w:pPr>
              <w:pStyle w:val="ListParagraph"/>
              <w:numPr>
                <w:ilvl w:val="0"/>
                <w:numId w:val="1"/>
              </w:numPr>
            </w:pPr>
            <w:r>
              <w:t xml:space="preserve">Those who are </w:t>
            </w:r>
            <w:r w:rsidRPr="004D18AB">
              <w:rPr>
                <w:b/>
              </w:rPr>
              <w:t>clinically vulnerable</w:t>
            </w:r>
            <w:r>
              <w:t xml:space="preserve"> (as defined by PHE) </w:t>
            </w:r>
          </w:p>
          <w:p w14:paraId="172AC34D" w14:textId="688DC879" w:rsidR="00324A02" w:rsidRDefault="00324A02" w:rsidP="00324A02">
            <w:pPr>
              <w:pStyle w:val="ListParagraph"/>
              <w:numPr>
                <w:ilvl w:val="0"/>
                <w:numId w:val="1"/>
              </w:numPr>
            </w:pPr>
            <w:r>
              <w:t xml:space="preserve">Those who our equality analysis highlighted face </w:t>
            </w:r>
            <w:r w:rsidRPr="004D18AB">
              <w:rPr>
                <w:b/>
              </w:rPr>
              <w:t>heightened risks</w:t>
            </w:r>
            <w:r w:rsidR="00CE504D">
              <w:rPr>
                <w:b/>
              </w:rPr>
              <w:t xml:space="preserve"> from COVID-19</w:t>
            </w:r>
          </w:p>
          <w:p w14:paraId="5E9320BC" w14:textId="77777777" w:rsidR="00324A02" w:rsidRPr="004D18AB" w:rsidRDefault="00324A02" w:rsidP="00324A02">
            <w:pPr>
              <w:pStyle w:val="ListParagraph"/>
              <w:numPr>
                <w:ilvl w:val="0"/>
                <w:numId w:val="1"/>
              </w:numPr>
              <w:rPr>
                <w:b/>
              </w:rPr>
            </w:pPr>
            <w:r>
              <w:t xml:space="preserve">Those who our equality analysis highlighted face </w:t>
            </w:r>
            <w:r w:rsidRPr="004D18AB">
              <w:rPr>
                <w:b/>
              </w:rPr>
              <w:t xml:space="preserve">indirect risks </w:t>
            </w:r>
          </w:p>
          <w:p w14:paraId="6A7359DD" w14:textId="77777777" w:rsidR="00324A02" w:rsidRDefault="00324A02" w:rsidP="005908F0"/>
        </w:tc>
        <w:tc>
          <w:tcPr>
            <w:tcW w:w="236" w:type="dxa"/>
          </w:tcPr>
          <w:p w14:paraId="664B7608" w14:textId="77777777" w:rsidR="00324A02" w:rsidRDefault="00324A02" w:rsidP="005908F0"/>
        </w:tc>
        <w:tc>
          <w:tcPr>
            <w:tcW w:w="7702" w:type="dxa"/>
          </w:tcPr>
          <w:p w14:paraId="06D5D24B" w14:textId="77777777" w:rsidR="00324A02" w:rsidRDefault="00324A02" w:rsidP="00324A02">
            <w:pPr>
              <w:pStyle w:val="ListParagraph"/>
              <w:numPr>
                <w:ilvl w:val="0"/>
                <w:numId w:val="2"/>
              </w:numPr>
            </w:pPr>
            <w:r w:rsidRPr="67A4AC7A">
              <w:rPr>
                <w:b/>
                <w:bCs/>
              </w:rPr>
              <w:t>Shielding</w:t>
            </w:r>
            <w:r>
              <w:t xml:space="preserve"> – individuals should not be on campus</w:t>
            </w:r>
          </w:p>
          <w:p w14:paraId="53F12AB0" w14:textId="5F2B276B" w:rsidR="00324A02" w:rsidRDefault="00324A02" w:rsidP="00324A02">
            <w:pPr>
              <w:pStyle w:val="ListParagraph"/>
              <w:numPr>
                <w:ilvl w:val="0"/>
                <w:numId w:val="2"/>
              </w:numPr>
            </w:pPr>
            <w:r w:rsidRPr="00324A02">
              <w:rPr>
                <w:b/>
              </w:rPr>
              <w:t>Precautionary approaches</w:t>
            </w:r>
            <w:r>
              <w:t xml:space="preserve"> – individuals should work from home wherever possible and should pay particularly close attention to risk mitigation procedures set out in the </w:t>
            </w:r>
            <w:r w:rsidR="0058605D">
              <w:t>latest guidance for managers</w:t>
            </w:r>
          </w:p>
          <w:p w14:paraId="65FF788D" w14:textId="77777777" w:rsidR="00324A02" w:rsidRDefault="00324A02" w:rsidP="00324A02">
            <w:pPr>
              <w:pStyle w:val="ListParagraph"/>
              <w:numPr>
                <w:ilvl w:val="0"/>
                <w:numId w:val="2"/>
              </w:numPr>
            </w:pPr>
            <w:r w:rsidRPr="00324A02">
              <w:rPr>
                <w:b/>
              </w:rPr>
              <w:t>COVID-Secure approaches</w:t>
            </w:r>
            <w:r>
              <w:t xml:space="preserve"> – individuals should do a mixture of working from home and on campus and should pay close attention to risk mitigation procedures</w:t>
            </w:r>
          </w:p>
          <w:p w14:paraId="14C0B887" w14:textId="77777777" w:rsidR="00324A02" w:rsidRDefault="00324A02" w:rsidP="00324A02">
            <w:pPr>
              <w:pStyle w:val="ListParagraph"/>
              <w:numPr>
                <w:ilvl w:val="0"/>
                <w:numId w:val="2"/>
              </w:numPr>
            </w:pPr>
            <w:r w:rsidRPr="00324A02">
              <w:rPr>
                <w:b/>
              </w:rPr>
              <w:t>Flexible approaches</w:t>
            </w:r>
            <w:r>
              <w:t xml:space="preserve"> – to support individuals to work from home or campus effectively </w:t>
            </w:r>
          </w:p>
          <w:p w14:paraId="77FC0FAF" w14:textId="77777777" w:rsidR="00324A02" w:rsidRDefault="00324A02" w:rsidP="005908F0"/>
        </w:tc>
      </w:tr>
    </w:tbl>
    <w:p w14:paraId="68AC8F8D" w14:textId="77777777" w:rsidR="00324A02" w:rsidRDefault="00324A02" w:rsidP="005908F0"/>
    <w:p w14:paraId="3C5753BE" w14:textId="48FA086A" w:rsidR="008F4869" w:rsidRDefault="008F4869">
      <w:r>
        <w:t xml:space="preserve">: </w:t>
      </w:r>
    </w:p>
    <w:p w14:paraId="30189573" w14:textId="108CD8C7" w:rsidR="00964B4D" w:rsidRDefault="00F96212" w:rsidP="00C13FA9">
      <w:pPr>
        <w:pStyle w:val="Heading1"/>
      </w:pPr>
      <w:r>
        <w:lastRenderedPageBreak/>
        <w:t xml:space="preserve">Part 1. </w:t>
      </w:r>
      <w:r w:rsidR="00C13FA9">
        <w:t>General Information</w:t>
      </w:r>
    </w:p>
    <w:tbl>
      <w:tblPr>
        <w:tblStyle w:val="TableGrid"/>
        <w:tblW w:w="5000" w:type="pct"/>
        <w:tblLook w:val="04A0" w:firstRow="1" w:lastRow="0" w:firstColumn="1" w:lastColumn="0" w:noHBand="0" w:noVBand="1"/>
      </w:tblPr>
      <w:tblGrid>
        <w:gridCol w:w="2359"/>
        <w:gridCol w:w="4210"/>
        <w:gridCol w:w="2600"/>
        <w:gridCol w:w="4779"/>
      </w:tblGrid>
      <w:tr w:rsidR="00C13FA9" w14:paraId="6DA473C2" w14:textId="77777777" w:rsidTr="00C13FA9">
        <w:trPr>
          <w:trHeight w:val="454"/>
        </w:trPr>
        <w:tc>
          <w:tcPr>
            <w:tcW w:w="846" w:type="pct"/>
            <w:shd w:val="clear" w:color="auto" w:fill="DEEAF6" w:themeFill="accent1" w:themeFillTint="33"/>
          </w:tcPr>
          <w:p w14:paraId="3A2A2AB4" w14:textId="77777777" w:rsidR="00C13FA9" w:rsidRPr="00C13FA9" w:rsidRDefault="00C13FA9">
            <w:pPr>
              <w:rPr>
                <w:b/>
              </w:rPr>
            </w:pPr>
            <w:r w:rsidRPr="00C13FA9">
              <w:rPr>
                <w:b/>
              </w:rPr>
              <w:t>Name:</w:t>
            </w:r>
          </w:p>
        </w:tc>
        <w:tc>
          <w:tcPr>
            <w:tcW w:w="1509" w:type="pct"/>
          </w:tcPr>
          <w:p w14:paraId="7EB511A1" w14:textId="77777777" w:rsidR="00C13FA9" w:rsidRDefault="00C13FA9"/>
        </w:tc>
        <w:tc>
          <w:tcPr>
            <w:tcW w:w="932" w:type="pct"/>
            <w:shd w:val="clear" w:color="auto" w:fill="DEEAF6" w:themeFill="accent1" w:themeFillTint="33"/>
          </w:tcPr>
          <w:p w14:paraId="03725051" w14:textId="77777777" w:rsidR="00C13FA9" w:rsidRPr="00C13FA9" w:rsidRDefault="00C13FA9">
            <w:pPr>
              <w:rPr>
                <w:b/>
              </w:rPr>
            </w:pPr>
            <w:r w:rsidRPr="00C13FA9">
              <w:rPr>
                <w:b/>
              </w:rPr>
              <w:t>Job Title:</w:t>
            </w:r>
          </w:p>
        </w:tc>
        <w:tc>
          <w:tcPr>
            <w:tcW w:w="1713" w:type="pct"/>
          </w:tcPr>
          <w:p w14:paraId="537FEC98" w14:textId="77777777" w:rsidR="00C13FA9" w:rsidRDefault="00C13FA9"/>
        </w:tc>
      </w:tr>
      <w:tr w:rsidR="00C13FA9" w14:paraId="5664B7BF" w14:textId="77777777" w:rsidTr="00C13FA9">
        <w:trPr>
          <w:trHeight w:val="454"/>
        </w:trPr>
        <w:tc>
          <w:tcPr>
            <w:tcW w:w="846" w:type="pct"/>
            <w:shd w:val="clear" w:color="auto" w:fill="DEEAF6" w:themeFill="accent1" w:themeFillTint="33"/>
          </w:tcPr>
          <w:p w14:paraId="58F9D2EF" w14:textId="77777777" w:rsidR="00C13FA9" w:rsidRPr="00C13FA9" w:rsidRDefault="00C13FA9">
            <w:pPr>
              <w:rPr>
                <w:b/>
              </w:rPr>
            </w:pPr>
            <w:r w:rsidRPr="00C13FA9">
              <w:rPr>
                <w:b/>
              </w:rPr>
              <w:t>Line Manager:</w:t>
            </w:r>
          </w:p>
        </w:tc>
        <w:tc>
          <w:tcPr>
            <w:tcW w:w="1509" w:type="pct"/>
          </w:tcPr>
          <w:p w14:paraId="031E059A" w14:textId="77777777" w:rsidR="00C13FA9" w:rsidRDefault="00C13FA9"/>
        </w:tc>
        <w:tc>
          <w:tcPr>
            <w:tcW w:w="932" w:type="pct"/>
            <w:shd w:val="clear" w:color="auto" w:fill="DEEAF6" w:themeFill="accent1" w:themeFillTint="33"/>
          </w:tcPr>
          <w:p w14:paraId="31C99234" w14:textId="77777777" w:rsidR="00C13FA9" w:rsidRPr="00C13FA9" w:rsidRDefault="00C13FA9">
            <w:pPr>
              <w:rPr>
                <w:b/>
              </w:rPr>
            </w:pPr>
            <w:r w:rsidRPr="00C13FA9">
              <w:rPr>
                <w:b/>
              </w:rPr>
              <w:t>Manager’s Job Title:</w:t>
            </w:r>
          </w:p>
        </w:tc>
        <w:tc>
          <w:tcPr>
            <w:tcW w:w="1713" w:type="pct"/>
          </w:tcPr>
          <w:p w14:paraId="1CFAA3A5" w14:textId="77777777" w:rsidR="00C13FA9" w:rsidRDefault="00C13FA9"/>
        </w:tc>
      </w:tr>
      <w:tr w:rsidR="00C13FA9" w14:paraId="125697D2" w14:textId="77777777" w:rsidTr="00C13FA9">
        <w:trPr>
          <w:trHeight w:val="454"/>
        </w:trPr>
        <w:tc>
          <w:tcPr>
            <w:tcW w:w="846" w:type="pct"/>
            <w:shd w:val="clear" w:color="auto" w:fill="DEEAF6" w:themeFill="accent1" w:themeFillTint="33"/>
          </w:tcPr>
          <w:p w14:paraId="70EA0D2D" w14:textId="77777777" w:rsidR="00C13FA9" w:rsidRPr="00C13FA9" w:rsidRDefault="00C13FA9">
            <w:pPr>
              <w:rPr>
                <w:b/>
              </w:rPr>
            </w:pPr>
            <w:r w:rsidRPr="00C13FA9">
              <w:rPr>
                <w:b/>
              </w:rPr>
              <w:t>Department:</w:t>
            </w:r>
          </w:p>
        </w:tc>
        <w:tc>
          <w:tcPr>
            <w:tcW w:w="1509" w:type="pct"/>
          </w:tcPr>
          <w:p w14:paraId="5E085BAD" w14:textId="77777777" w:rsidR="00C13FA9" w:rsidRDefault="00C13FA9"/>
        </w:tc>
        <w:tc>
          <w:tcPr>
            <w:tcW w:w="932" w:type="pct"/>
            <w:shd w:val="clear" w:color="auto" w:fill="DEEAF6" w:themeFill="accent1" w:themeFillTint="33"/>
          </w:tcPr>
          <w:p w14:paraId="01B1DE15" w14:textId="77777777" w:rsidR="00C13FA9" w:rsidRPr="00C13FA9" w:rsidRDefault="00C13FA9">
            <w:pPr>
              <w:rPr>
                <w:b/>
              </w:rPr>
            </w:pPr>
            <w:r w:rsidRPr="00C13FA9">
              <w:rPr>
                <w:b/>
              </w:rPr>
              <w:t>Faculty/Service:</w:t>
            </w:r>
          </w:p>
        </w:tc>
        <w:tc>
          <w:tcPr>
            <w:tcW w:w="1713" w:type="pct"/>
          </w:tcPr>
          <w:p w14:paraId="1FA18421" w14:textId="77777777" w:rsidR="00C13FA9" w:rsidRDefault="00C13FA9"/>
        </w:tc>
      </w:tr>
      <w:tr w:rsidR="00C13FA9" w14:paraId="3035F284" w14:textId="77777777" w:rsidTr="00C13FA9">
        <w:trPr>
          <w:trHeight w:val="454"/>
        </w:trPr>
        <w:tc>
          <w:tcPr>
            <w:tcW w:w="846" w:type="pct"/>
            <w:shd w:val="clear" w:color="auto" w:fill="DEEAF6" w:themeFill="accent1" w:themeFillTint="33"/>
          </w:tcPr>
          <w:p w14:paraId="1F0B15C1" w14:textId="77777777" w:rsidR="00C13FA9" w:rsidRPr="00C13FA9" w:rsidRDefault="00C13FA9">
            <w:pPr>
              <w:rPr>
                <w:b/>
              </w:rPr>
            </w:pPr>
            <w:r w:rsidRPr="00C13FA9">
              <w:rPr>
                <w:b/>
              </w:rPr>
              <w:t>Date of assessment:</w:t>
            </w:r>
          </w:p>
        </w:tc>
        <w:tc>
          <w:tcPr>
            <w:tcW w:w="1509" w:type="pct"/>
          </w:tcPr>
          <w:p w14:paraId="074E4503" w14:textId="77777777" w:rsidR="00C13FA9" w:rsidRDefault="00C13FA9"/>
        </w:tc>
        <w:tc>
          <w:tcPr>
            <w:tcW w:w="932" w:type="pct"/>
            <w:shd w:val="clear" w:color="auto" w:fill="DEEAF6" w:themeFill="accent1" w:themeFillTint="33"/>
          </w:tcPr>
          <w:p w14:paraId="60BA4AE5" w14:textId="649E5BE4" w:rsidR="00C13FA9" w:rsidRPr="00C13FA9" w:rsidRDefault="00A17C91">
            <w:pPr>
              <w:rPr>
                <w:b/>
              </w:rPr>
            </w:pPr>
            <w:r>
              <w:rPr>
                <w:b/>
              </w:rPr>
              <w:t>Names of individuals who completed the risk assessment conversation</w:t>
            </w:r>
          </w:p>
        </w:tc>
        <w:tc>
          <w:tcPr>
            <w:tcW w:w="1713" w:type="pct"/>
          </w:tcPr>
          <w:p w14:paraId="65D825FB" w14:textId="77777777" w:rsidR="00C13FA9" w:rsidRDefault="00C13FA9"/>
        </w:tc>
      </w:tr>
    </w:tbl>
    <w:p w14:paraId="05701048" w14:textId="125ECC71" w:rsidR="00C13FA9" w:rsidRDefault="00F96212" w:rsidP="00C13FA9">
      <w:pPr>
        <w:pStyle w:val="Heading1"/>
      </w:pPr>
      <w:r>
        <w:t xml:space="preserve">Part 2. </w:t>
      </w:r>
      <w:r w:rsidR="00C13FA9">
        <w:t>Individual Level Risk</w:t>
      </w:r>
    </w:p>
    <w:p w14:paraId="3504058F" w14:textId="5A531BB2" w:rsidR="002753C9" w:rsidRPr="002753C9" w:rsidRDefault="002753C9" w:rsidP="002753C9">
      <w:r>
        <w:t>Please tick all that apply</w:t>
      </w:r>
      <w:r w:rsidR="008C14AA">
        <w:t xml:space="preserve"> </w:t>
      </w:r>
    </w:p>
    <w:tbl>
      <w:tblPr>
        <w:tblStyle w:val="TableGrid"/>
        <w:tblW w:w="5000" w:type="pct"/>
        <w:tblLook w:val="04A0" w:firstRow="1" w:lastRow="0" w:firstColumn="1" w:lastColumn="0" w:noHBand="0" w:noVBand="1"/>
      </w:tblPr>
      <w:tblGrid>
        <w:gridCol w:w="1414"/>
        <w:gridCol w:w="8408"/>
        <w:gridCol w:w="884"/>
        <w:gridCol w:w="3242"/>
      </w:tblGrid>
      <w:tr w:rsidR="00F96212" w14:paraId="46A1FD1D" w14:textId="77777777" w:rsidTr="67A4AC7A">
        <w:trPr>
          <w:trHeight w:val="459"/>
        </w:trPr>
        <w:tc>
          <w:tcPr>
            <w:tcW w:w="3521" w:type="pct"/>
            <w:gridSpan w:val="2"/>
            <w:shd w:val="clear" w:color="auto" w:fill="auto"/>
            <w:vAlign w:val="center"/>
          </w:tcPr>
          <w:p w14:paraId="42D29668" w14:textId="7FC74CF7" w:rsidR="00F96212" w:rsidRPr="00F96212" w:rsidRDefault="00F96212" w:rsidP="00F96212">
            <w:pPr>
              <w:jc w:val="center"/>
              <w:rPr>
                <w:b/>
              </w:rPr>
            </w:pPr>
            <w:r w:rsidRPr="00F96212">
              <w:rPr>
                <w:b/>
              </w:rPr>
              <w:t>Individual risk factors</w:t>
            </w:r>
          </w:p>
        </w:tc>
        <w:tc>
          <w:tcPr>
            <w:tcW w:w="317" w:type="pct"/>
            <w:shd w:val="clear" w:color="auto" w:fill="auto"/>
            <w:vAlign w:val="center"/>
          </w:tcPr>
          <w:p w14:paraId="23E0DD96" w14:textId="1BE0A58E" w:rsidR="00F96212" w:rsidRPr="00F96212" w:rsidRDefault="00F96212" w:rsidP="00F96212">
            <w:pPr>
              <w:jc w:val="center"/>
              <w:rPr>
                <w:b/>
              </w:rPr>
            </w:pPr>
            <w:r w:rsidRPr="00F96212">
              <w:rPr>
                <w:rFonts w:ascii="Segoe UI Symbol" w:hAnsi="Segoe UI Symbol"/>
                <w:b/>
              </w:rPr>
              <w:t>✓</w:t>
            </w:r>
          </w:p>
        </w:tc>
        <w:tc>
          <w:tcPr>
            <w:tcW w:w="1162" w:type="pct"/>
            <w:shd w:val="clear" w:color="auto" w:fill="auto"/>
            <w:vAlign w:val="center"/>
          </w:tcPr>
          <w:p w14:paraId="04A19A1D" w14:textId="0E0C5790" w:rsidR="00F96212" w:rsidRPr="00F96212" w:rsidRDefault="004D18AB" w:rsidP="004D18AB">
            <w:pPr>
              <w:jc w:val="center"/>
              <w:rPr>
                <w:b/>
              </w:rPr>
            </w:pPr>
            <w:r>
              <w:rPr>
                <w:b/>
              </w:rPr>
              <w:t xml:space="preserve">Individual </w:t>
            </w:r>
            <w:r w:rsidR="00F96212">
              <w:rPr>
                <w:b/>
              </w:rPr>
              <w:t xml:space="preserve">Risk </w:t>
            </w:r>
            <w:r>
              <w:rPr>
                <w:b/>
              </w:rPr>
              <w:t>category</w:t>
            </w:r>
          </w:p>
        </w:tc>
      </w:tr>
      <w:tr w:rsidR="00324A02" w14:paraId="5012A674" w14:textId="77777777" w:rsidTr="67A4AC7A">
        <w:trPr>
          <w:trHeight w:val="315"/>
        </w:trPr>
        <w:tc>
          <w:tcPr>
            <w:tcW w:w="507" w:type="pct"/>
            <w:vMerge w:val="restart"/>
            <w:shd w:val="clear" w:color="auto" w:fill="auto"/>
          </w:tcPr>
          <w:p w14:paraId="6F0DA4B4" w14:textId="397C7AC0" w:rsidR="00324A02" w:rsidRDefault="00324A02" w:rsidP="00C13FA9">
            <w:r>
              <w:t>Shielding</w:t>
            </w:r>
          </w:p>
        </w:tc>
        <w:tc>
          <w:tcPr>
            <w:tcW w:w="3014" w:type="pct"/>
            <w:shd w:val="clear" w:color="auto" w:fill="FF7171"/>
          </w:tcPr>
          <w:p w14:paraId="372D501B" w14:textId="35EB08E9" w:rsidR="00324A02" w:rsidRDefault="00324A02" w:rsidP="00324A02">
            <w:r>
              <w:t>Notified as being on 12 week shielding by the Government</w:t>
            </w:r>
          </w:p>
        </w:tc>
        <w:tc>
          <w:tcPr>
            <w:tcW w:w="317" w:type="pct"/>
          </w:tcPr>
          <w:p w14:paraId="6066ED41" w14:textId="77777777" w:rsidR="00324A02" w:rsidRDefault="00324A02" w:rsidP="00C13FA9"/>
        </w:tc>
        <w:tc>
          <w:tcPr>
            <w:tcW w:w="1162" w:type="pct"/>
            <w:vMerge w:val="restart"/>
            <w:shd w:val="clear" w:color="auto" w:fill="FF7171"/>
          </w:tcPr>
          <w:p w14:paraId="67A8C175" w14:textId="77777777" w:rsidR="00324A02" w:rsidRDefault="00324A02" w:rsidP="00C13FA9">
            <w:r>
              <w:t>Clinically extremely vulnerable</w:t>
            </w:r>
          </w:p>
        </w:tc>
      </w:tr>
      <w:tr w:rsidR="00324A02" w14:paraId="4BA4B41A" w14:textId="77777777" w:rsidTr="67A4AC7A">
        <w:tc>
          <w:tcPr>
            <w:tcW w:w="507" w:type="pct"/>
            <w:vMerge/>
          </w:tcPr>
          <w:p w14:paraId="7922B94B" w14:textId="3D6CF287" w:rsidR="00324A02" w:rsidRPr="00C13FA9" w:rsidRDefault="00324A02" w:rsidP="00C13FA9"/>
        </w:tc>
        <w:tc>
          <w:tcPr>
            <w:tcW w:w="3014" w:type="pct"/>
            <w:shd w:val="clear" w:color="auto" w:fill="FF7171"/>
          </w:tcPr>
          <w:p w14:paraId="7688A121" w14:textId="17A0F6F1" w:rsidR="00324A02" w:rsidRPr="00C13FA9" w:rsidRDefault="00324A02" w:rsidP="00C13FA9">
            <w:r>
              <w:t xml:space="preserve">Pregnant: after 28 weeks gestation </w:t>
            </w:r>
            <w:r>
              <w:rPr>
                <w:i/>
              </w:rPr>
              <w:t>or</w:t>
            </w:r>
            <w:r>
              <w:t xml:space="preserve"> with underlying health condition</w:t>
            </w:r>
          </w:p>
        </w:tc>
        <w:tc>
          <w:tcPr>
            <w:tcW w:w="317" w:type="pct"/>
          </w:tcPr>
          <w:p w14:paraId="729A6BE4" w14:textId="77777777" w:rsidR="00324A02" w:rsidRDefault="00324A02" w:rsidP="00C13FA9"/>
        </w:tc>
        <w:tc>
          <w:tcPr>
            <w:tcW w:w="1162" w:type="pct"/>
            <w:vMerge/>
          </w:tcPr>
          <w:p w14:paraId="292A023D" w14:textId="77777777" w:rsidR="00324A02" w:rsidRDefault="00324A02" w:rsidP="00C13FA9"/>
        </w:tc>
      </w:tr>
      <w:tr w:rsidR="00C13FA9" w14:paraId="3734B5F2" w14:textId="77777777" w:rsidTr="67A4AC7A">
        <w:tc>
          <w:tcPr>
            <w:tcW w:w="507" w:type="pct"/>
            <w:vMerge w:val="restart"/>
          </w:tcPr>
          <w:p w14:paraId="089E3067" w14:textId="77777777" w:rsidR="00C13FA9" w:rsidRDefault="00C13FA9" w:rsidP="00C13FA9">
            <w:r>
              <w:t>Age</w:t>
            </w:r>
          </w:p>
        </w:tc>
        <w:tc>
          <w:tcPr>
            <w:tcW w:w="3014" w:type="pct"/>
            <w:shd w:val="clear" w:color="auto" w:fill="F4B083" w:themeFill="accent2" w:themeFillTint="99"/>
          </w:tcPr>
          <w:p w14:paraId="37B3828F" w14:textId="77777777" w:rsidR="00C13FA9" w:rsidRDefault="00C13FA9" w:rsidP="00C13FA9">
            <w:r>
              <w:t>Age over 70</w:t>
            </w:r>
          </w:p>
        </w:tc>
        <w:tc>
          <w:tcPr>
            <w:tcW w:w="317" w:type="pct"/>
          </w:tcPr>
          <w:p w14:paraId="7CA4890E" w14:textId="77777777" w:rsidR="00C13FA9" w:rsidRDefault="00C13FA9" w:rsidP="00C13FA9"/>
        </w:tc>
        <w:tc>
          <w:tcPr>
            <w:tcW w:w="1162" w:type="pct"/>
            <w:shd w:val="clear" w:color="auto" w:fill="F4B083" w:themeFill="accent2" w:themeFillTint="99"/>
          </w:tcPr>
          <w:p w14:paraId="4F2AC782" w14:textId="77777777" w:rsidR="00C13FA9" w:rsidRDefault="00C13FA9" w:rsidP="00C13FA9">
            <w:r>
              <w:t>Clinically vulnerable</w:t>
            </w:r>
          </w:p>
        </w:tc>
      </w:tr>
      <w:tr w:rsidR="00C13FA9" w14:paraId="3E195B51" w14:textId="77777777" w:rsidTr="67A4AC7A">
        <w:tc>
          <w:tcPr>
            <w:tcW w:w="507" w:type="pct"/>
            <w:vMerge/>
          </w:tcPr>
          <w:p w14:paraId="7C34D815" w14:textId="77777777" w:rsidR="00C13FA9" w:rsidRDefault="00C13FA9" w:rsidP="00C13FA9"/>
        </w:tc>
        <w:tc>
          <w:tcPr>
            <w:tcW w:w="3014" w:type="pct"/>
            <w:shd w:val="clear" w:color="auto" w:fill="FFE599" w:themeFill="accent4" w:themeFillTint="66"/>
          </w:tcPr>
          <w:p w14:paraId="12528F4C" w14:textId="25F153B9" w:rsidR="00C13FA9" w:rsidRDefault="00C13FA9" w:rsidP="00C13FA9">
            <w:r>
              <w:t>Age over 50 with underlying health conditions</w:t>
            </w:r>
          </w:p>
        </w:tc>
        <w:tc>
          <w:tcPr>
            <w:tcW w:w="317" w:type="pct"/>
          </w:tcPr>
          <w:p w14:paraId="04501F38" w14:textId="77777777" w:rsidR="00C13FA9" w:rsidRDefault="00C13FA9" w:rsidP="00C13FA9"/>
        </w:tc>
        <w:tc>
          <w:tcPr>
            <w:tcW w:w="1162" w:type="pct"/>
            <w:shd w:val="clear" w:color="auto" w:fill="FFE599" w:themeFill="accent4" w:themeFillTint="66"/>
          </w:tcPr>
          <w:p w14:paraId="10CA5B33" w14:textId="62491FB7" w:rsidR="00C13FA9" w:rsidRDefault="000B7138" w:rsidP="004D18AB">
            <w:r>
              <w:t>Heightened r</w:t>
            </w:r>
            <w:r w:rsidR="00C13FA9">
              <w:t xml:space="preserve">isk </w:t>
            </w:r>
          </w:p>
        </w:tc>
      </w:tr>
      <w:tr w:rsidR="002753C9" w14:paraId="1628B16B" w14:textId="77777777" w:rsidTr="67A4AC7A">
        <w:tc>
          <w:tcPr>
            <w:tcW w:w="507" w:type="pct"/>
            <w:vMerge w:val="restart"/>
          </w:tcPr>
          <w:p w14:paraId="6DD0F735" w14:textId="77777777" w:rsidR="002753C9" w:rsidRDefault="002753C9" w:rsidP="005441E1">
            <w:r>
              <w:t>Disability and health conditions</w:t>
            </w:r>
          </w:p>
        </w:tc>
        <w:tc>
          <w:tcPr>
            <w:tcW w:w="3014" w:type="pct"/>
            <w:shd w:val="clear" w:color="auto" w:fill="F4B083" w:themeFill="accent2" w:themeFillTint="99"/>
          </w:tcPr>
          <w:p w14:paraId="04A8A2B8" w14:textId="55181BEC" w:rsidR="002753C9" w:rsidRDefault="002753C9" w:rsidP="005441E1">
            <w:r>
              <w:t>PHE high risk health condition</w:t>
            </w:r>
            <w:r w:rsidR="00324A02">
              <w:t>s</w:t>
            </w:r>
            <w:r>
              <w:t>: lung conditions that are not severe (such as asthma, COPD, emphysema or bronchitis), heart disease (such as heart failure), diabetes, chronic kidney disease, liver disease (such as hepatitis), conditions affecting the brain or nerves (such as Parkinson's disease, motor neurone disease, multiple sclerosis or cerebral palsy), conditions that means you have a high risk of getting infections, are taking medicine that can affect the immune system (such as low doses of steroids), obesity(a BMI of 40 or above)</w:t>
            </w:r>
          </w:p>
        </w:tc>
        <w:tc>
          <w:tcPr>
            <w:tcW w:w="317" w:type="pct"/>
          </w:tcPr>
          <w:p w14:paraId="54772710" w14:textId="77777777" w:rsidR="002753C9" w:rsidRDefault="002753C9" w:rsidP="005441E1"/>
        </w:tc>
        <w:tc>
          <w:tcPr>
            <w:tcW w:w="1162" w:type="pct"/>
            <w:shd w:val="clear" w:color="auto" w:fill="F4B083" w:themeFill="accent2" w:themeFillTint="99"/>
          </w:tcPr>
          <w:p w14:paraId="7A226FD1" w14:textId="77777777" w:rsidR="002753C9" w:rsidRDefault="002753C9" w:rsidP="005441E1">
            <w:r>
              <w:t>Clinically vulnerable</w:t>
            </w:r>
          </w:p>
        </w:tc>
      </w:tr>
      <w:tr w:rsidR="002753C9" w14:paraId="3FD2C495" w14:textId="77777777" w:rsidTr="67A4AC7A">
        <w:tc>
          <w:tcPr>
            <w:tcW w:w="507" w:type="pct"/>
            <w:vMerge/>
          </w:tcPr>
          <w:p w14:paraId="322B1F87" w14:textId="77777777" w:rsidR="002753C9" w:rsidRDefault="002753C9" w:rsidP="005441E1"/>
        </w:tc>
        <w:tc>
          <w:tcPr>
            <w:tcW w:w="3014" w:type="pct"/>
            <w:shd w:val="clear" w:color="auto" w:fill="FFF2CC" w:themeFill="accent4" w:themeFillTint="33"/>
          </w:tcPr>
          <w:p w14:paraId="3B6546B9" w14:textId="77777777" w:rsidR="002753C9" w:rsidRDefault="002753C9" w:rsidP="005441E1">
            <w:r>
              <w:t>Other disabilities or health conditions which are not included on the PHE clinically vulnerable list but which create barriers to working safely on campus or at home</w:t>
            </w:r>
          </w:p>
        </w:tc>
        <w:tc>
          <w:tcPr>
            <w:tcW w:w="317" w:type="pct"/>
          </w:tcPr>
          <w:p w14:paraId="37570864" w14:textId="77777777" w:rsidR="002753C9" w:rsidRDefault="002753C9" w:rsidP="005441E1"/>
        </w:tc>
        <w:tc>
          <w:tcPr>
            <w:tcW w:w="1162" w:type="pct"/>
            <w:shd w:val="clear" w:color="auto" w:fill="FFF2CC" w:themeFill="accent4" w:themeFillTint="33"/>
          </w:tcPr>
          <w:p w14:paraId="20E9AE5C" w14:textId="731982A1" w:rsidR="002753C9" w:rsidRDefault="00F96212" w:rsidP="004D18AB">
            <w:r>
              <w:t xml:space="preserve">Indirect risk </w:t>
            </w:r>
          </w:p>
        </w:tc>
      </w:tr>
      <w:tr w:rsidR="005441E1" w14:paraId="6B6629ED" w14:textId="77777777" w:rsidTr="67A4AC7A">
        <w:tc>
          <w:tcPr>
            <w:tcW w:w="507" w:type="pct"/>
          </w:tcPr>
          <w:p w14:paraId="13CC54B5" w14:textId="77777777" w:rsidR="005441E1" w:rsidRDefault="005441E1" w:rsidP="005441E1">
            <w:r>
              <w:t>Sex and Gender</w:t>
            </w:r>
          </w:p>
        </w:tc>
        <w:tc>
          <w:tcPr>
            <w:tcW w:w="3014" w:type="pct"/>
            <w:shd w:val="clear" w:color="auto" w:fill="FFE599" w:themeFill="accent4" w:themeFillTint="66"/>
          </w:tcPr>
          <w:p w14:paraId="20DA6FA9" w14:textId="37457C7E" w:rsidR="005441E1" w:rsidRDefault="005441E1" w:rsidP="005441E1">
            <w:r>
              <w:t>Male with underlying health conditions or aged over 50</w:t>
            </w:r>
          </w:p>
        </w:tc>
        <w:tc>
          <w:tcPr>
            <w:tcW w:w="317" w:type="pct"/>
          </w:tcPr>
          <w:p w14:paraId="76FA59F1" w14:textId="77777777" w:rsidR="005441E1" w:rsidRDefault="005441E1" w:rsidP="005441E1"/>
        </w:tc>
        <w:tc>
          <w:tcPr>
            <w:tcW w:w="1162" w:type="pct"/>
            <w:shd w:val="clear" w:color="auto" w:fill="FFE599" w:themeFill="accent4" w:themeFillTint="66"/>
          </w:tcPr>
          <w:p w14:paraId="7D59718D" w14:textId="5AC4DFEF" w:rsidR="005441E1" w:rsidRDefault="004D18AB" w:rsidP="004D18AB">
            <w:r>
              <w:t>Heightened risk</w:t>
            </w:r>
          </w:p>
        </w:tc>
      </w:tr>
      <w:tr w:rsidR="008F4869" w14:paraId="60959D3A" w14:textId="77777777" w:rsidTr="67A4AC7A">
        <w:tc>
          <w:tcPr>
            <w:tcW w:w="507" w:type="pct"/>
            <w:shd w:val="clear" w:color="auto" w:fill="auto"/>
          </w:tcPr>
          <w:p w14:paraId="474A1052" w14:textId="2E1933E4" w:rsidR="008F4869" w:rsidRDefault="008F4869" w:rsidP="005441E1">
            <w:r>
              <w:t>Race and ethnicity</w:t>
            </w:r>
          </w:p>
        </w:tc>
        <w:tc>
          <w:tcPr>
            <w:tcW w:w="3014" w:type="pct"/>
            <w:shd w:val="clear" w:color="auto" w:fill="FFE599" w:themeFill="accent4" w:themeFillTint="66"/>
          </w:tcPr>
          <w:p w14:paraId="4628CF72" w14:textId="77777777" w:rsidR="008F4869" w:rsidRDefault="008F4869" w:rsidP="008F4869">
            <w:r>
              <w:t xml:space="preserve">Black, Asian and minority ethnic staff (BAME) </w:t>
            </w:r>
          </w:p>
          <w:p w14:paraId="7F60F07A" w14:textId="65DBEFDE" w:rsidR="008F4869" w:rsidRDefault="008F4869" w:rsidP="008F4869">
            <w:r w:rsidRPr="00052F95">
              <w:rPr>
                <w:rFonts w:ascii="Calibri" w:hAnsi="Calibri" w:cs="Calibri"/>
                <w:bCs/>
                <w:sz w:val="20"/>
                <w:szCs w:val="20"/>
              </w:rPr>
              <w:t xml:space="preserve">in the absence of any current formal PHE guidance we are </w:t>
            </w:r>
            <w:r>
              <w:rPr>
                <w:rFonts w:ascii="Calibri" w:hAnsi="Calibri" w:cs="Calibri"/>
                <w:bCs/>
                <w:sz w:val="20"/>
                <w:szCs w:val="20"/>
              </w:rPr>
              <w:t xml:space="preserve">recognising </w:t>
            </w:r>
            <w:r w:rsidRPr="00052F95">
              <w:rPr>
                <w:rFonts w:ascii="Calibri" w:hAnsi="Calibri" w:cs="Calibri"/>
                <w:bCs/>
                <w:sz w:val="20"/>
                <w:szCs w:val="20"/>
              </w:rPr>
              <w:t>possible increased rates of COVID-19 infection amongst BAME communities in particular Black and Asian (African, Caribbean, Indian, Pakistani, Bangladeshi, Filipino, Chinese, Japanese).</w:t>
            </w:r>
          </w:p>
        </w:tc>
        <w:tc>
          <w:tcPr>
            <w:tcW w:w="317" w:type="pct"/>
            <w:shd w:val="clear" w:color="auto" w:fill="auto"/>
          </w:tcPr>
          <w:p w14:paraId="44F67E98" w14:textId="77777777" w:rsidR="008F4869" w:rsidRDefault="008F4869" w:rsidP="005441E1"/>
        </w:tc>
        <w:tc>
          <w:tcPr>
            <w:tcW w:w="1162" w:type="pct"/>
            <w:shd w:val="clear" w:color="auto" w:fill="FFE599" w:themeFill="accent4" w:themeFillTint="66"/>
          </w:tcPr>
          <w:p w14:paraId="3F6353E0" w14:textId="4DCFC650" w:rsidR="008F4869" w:rsidRDefault="000B7138" w:rsidP="004D18AB">
            <w:r>
              <w:t xml:space="preserve">Heightened risk </w:t>
            </w:r>
          </w:p>
        </w:tc>
      </w:tr>
      <w:tr w:rsidR="00AE7B9C" w14:paraId="208EBA56" w14:textId="77777777" w:rsidTr="67A4AC7A">
        <w:tc>
          <w:tcPr>
            <w:tcW w:w="507" w:type="pct"/>
            <w:vMerge w:val="restart"/>
            <w:shd w:val="clear" w:color="auto" w:fill="auto"/>
          </w:tcPr>
          <w:p w14:paraId="63E3A8B7" w14:textId="77777777" w:rsidR="00AE7B9C" w:rsidRDefault="00AE7B9C" w:rsidP="004D18AB">
            <w:r>
              <w:lastRenderedPageBreak/>
              <w:t>Other factors identified in our Equality Analysis</w:t>
            </w:r>
          </w:p>
          <w:p w14:paraId="0C916933" w14:textId="42742086" w:rsidR="00AE7B9C" w:rsidRDefault="00AE7B9C" w:rsidP="000B7138"/>
        </w:tc>
        <w:tc>
          <w:tcPr>
            <w:tcW w:w="3014" w:type="pct"/>
            <w:shd w:val="clear" w:color="auto" w:fill="FFE599" w:themeFill="accent4" w:themeFillTint="66"/>
          </w:tcPr>
          <w:p w14:paraId="417D8AF1" w14:textId="70E9C7C6" w:rsidR="00AE7B9C" w:rsidRDefault="00AE7B9C" w:rsidP="00843BD2">
            <w:r w:rsidRPr="00843BD2">
              <w:rPr>
                <w:b/>
              </w:rPr>
              <w:t>Caring responsibilities:</w:t>
            </w:r>
            <w:r>
              <w:t xml:space="preserve"> those who are clinically extremely vulnerable or clinically vulnerable</w:t>
            </w:r>
          </w:p>
        </w:tc>
        <w:tc>
          <w:tcPr>
            <w:tcW w:w="317" w:type="pct"/>
            <w:shd w:val="clear" w:color="auto" w:fill="auto"/>
          </w:tcPr>
          <w:p w14:paraId="084808FC" w14:textId="77777777" w:rsidR="00AE7B9C" w:rsidRDefault="00AE7B9C" w:rsidP="005441E1"/>
        </w:tc>
        <w:tc>
          <w:tcPr>
            <w:tcW w:w="1162" w:type="pct"/>
            <w:shd w:val="clear" w:color="auto" w:fill="FFE599" w:themeFill="accent4" w:themeFillTint="66"/>
          </w:tcPr>
          <w:p w14:paraId="4E8D5F52" w14:textId="613210A9" w:rsidR="00AE7B9C" w:rsidRDefault="00AE7B9C" w:rsidP="004D18AB">
            <w:r>
              <w:t>Heightened risk</w:t>
            </w:r>
          </w:p>
        </w:tc>
      </w:tr>
      <w:tr w:rsidR="00AE7B9C" w14:paraId="7762EA41" w14:textId="77777777" w:rsidTr="67A4AC7A">
        <w:tc>
          <w:tcPr>
            <w:tcW w:w="507" w:type="pct"/>
            <w:vMerge/>
          </w:tcPr>
          <w:p w14:paraId="1902EE71" w14:textId="13F22C34" w:rsidR="00AE7B9C" w:rsidRDefault="00AE7B9C" w:rsidP="000B7138"/>
        </w:tc>
        <w:tc>
          <w:tcPr>
            <w:tcW w:w="3014" w:type="pct"/>
            <w:shd w:val="clear" w:color="auto" w:fill="FFF2CC" w:themeFill="accent4" w:themeFillTint="33"/>
          </w:tcPr>
          <w:p w14:paraId="20822EB5" w14:textId="1DA0E965" w:rsidR="00AE7B9C" w:rsidRDefault="00AE7B9C" w:rsidP="000B7138">
            <w:r w:rsidRPr="00843BD2">
              <w:rPr>
                <w:b/>
              </w:rPr>
              <w:t>Caring responsibilities:</w:t>
            </w:r>
            <w:r>
              <w:t xml:space="preserve"> children or adults whose care or schooling has been disrupted which creates additional barriers to you</w:t>
            </w:r>
          </w:p>
        </w:tc>
        <w:tc>
          <w:tcPr>
            <w:tcW w:w="317" w:type="pct"/>
            <w:shd w:val="clear" w:color="auto" w:fill="auto"/>
          </w:tcPr>
          <w:p w14:paraId="3D469E6F" w14:textId="77777777" w:rsidR="00AE7B9C" w:rsidRDefault="00AE7B9C" w:rsidP="000B7138"/>
        </w:tc>
        <w:tc>
          <w:tcPr>
            <w:tcW w:w="1162" w:type="pct"/>
            <w:shd w:val="clear" w:color="auto" w:fill="FFF2CC" w:themeFill="accent4" w:themeFillTint="33"/>
          </w:tcPr>
          <w:p w14:paraId="5938E981" w14:textId="49B59B1B" w:rsidR="00AE7B9C" w:rsidRDefault="00AE7B9C" w:rsidP="004D18AB">
            <w:r>
              <w:t>Indirect risk</w:t>
            </w:r>
            <w:r w:rsidRPr="00DD791E">
              <w:t xml:space="preserve"> </w:t>
            </w:r>
          </w:p>
        </w:tc>
      </w:tr>
      <w:tr w:rsidR="00AE7B9C" w14:paraId="57284EBB" w14:textId="77777777" w:rsidTr="67A4AC7A">
        <w:tc>
          <w:tcPr>
            <w:tcW w:w="507" w:type="pct"/>
            <w:vMerge/>
          </w:tcPr>
          <w:p w14:paraId="358E4301" w14:textId="15569E8D" w:rsidR="00AE7B9C" w:rsidRDefault="00AE7B9C" w:rsidP="000B7138"/>
        </w:tc>
        <w:tc>
          <w:tcPr>
            <w:tcW w:w="3014" w:type="pct"/>
            <w:shd w:val="clear" w:color="auto" w:fill="FFF2CC" w:themeFill="accent4" w:themeFillTint="33"/>
          </w:tcPr>
          <w:p w14:paraId="2DAD3F3A" w14:textId="40B14833" w:rsidR="00AE7B9C" w:rsidRPr="00843BD2" w:rsidRDefault="00AE7B9C" w:rsidP="0058605D">
            <w:r>
              <w:rPr>
                <w:b/>
              </w:rPr>
              <w:t>Home working:</w:t>
            </w:r>
            <w:r>
              <w:t xml:space="preserve"> those who do not have appropriate or safe space to work at home including warm, quiet, with internet access, with appropriate equipment</w:t>
            </w:r>
          </w:p>
        </w:tc>
        <w:tc>
          <w:tcPr>
            <w:tcW w:w="317" w:type="pct"/>
            <w:shd w:val="clear" w:color="auto" w:fill="auto"/>
          </w:tcPr>
          <w:p w14:paraId="6A5F60F2" w14:textId="77777777" w:rsidR="00AE7B9C" w:rsidRDefault="00AE7B9C" w:rsidP="000B7138"/>
        </w:tc>
        <w:tc>
          <w:tcPr>
            <w:tcW w:w="1162" w:type="pct"/>
            <w:shd w:val="clear" w:color="auto" w:fill="FFF2CC" w:themeFill="accent4" w:themeFillTint="33"/>
          </w:tcPr>
          <w:p w14:paraId="68170BB0" w14:textId="570C4701" w:rsidR="00AE7B9C" w:rsidRDefault="00AE7B9C" w:rsidP="004D18AB">
            <w:r>
              <w:t>Indirect risk</w:t>
            </w:r>
          </w:p>
        </w:tc>
      </w:tr>
      <w:tr w:rsidR="00AE7B9C" w14:paraId="7543E447" w14:textId="77777777" w:rsidTr="67A4AC7A">
        <w:tc>
          <w:tcPr>
            <w:tcW w:w="507" w:type="pct"/>
            <w:vMerge/>
          </w:tcPr>
          <w:p w14:paraId="4A265958" w14:textId="4111B5EB" w:rsidR="00AE7B9C" w:rsidRDefault="00AE7B9C" w:rsidP="000B7138"/>
        </w:tc>
        <w:tc>
          <w:tcPr>
            <w:tcW w:w="3014" w:type="pct"/>
            <w:shd w:val="clear" w:color="auto" w:fill="FFF2CC" w:themeFill="accent4" w:themeFillTint="33"/>
          </w:tcPr>
          <w:p w14:paraId="3C3E4F86" w14:textId="06DBF0E7" w:rsidR="00AE7B9C" w:rsidRPr="0058605D" w:rsidRDefault="00AE7B9C" w:rsidP="0058605D">
            <w:r>
              <w:rPr>
                <w:b/>
              </w:rPr>
              <w:t xml:space="preserve">Religious practices: </w:t>
            </w:r>
            <w:r>
              <w:t xml:space="preserve">staff who use prayer spaces on campus regularly may need additional flexibility due to changes to accessibility of these spaces </w:t>
            </w:r>
          </w:p>
        </w:tc>
        <w:tc>
          <w:tcPr>
            <w:tcW w:w="317" w:type="pct"/>
            <w:shd w:val="clear" w:color="auto" w:fill="auto"/>
          </w:tcPr>
          <w:p w14:paraId="3D7D9741" w14:textId="77777777" w:rsidR="00AE7B9C" w:rsidRDefault="00AE7B9C" w:rsidP="000B7138"/>
        </w:tc>
        <w:tc>
          <w:tcPr>
            <w:tcW w:w="1162" w:type="pct"/>
            <w:shd w:val="clear" w:color="auto" w:fill="FFF2CC" w:themeFill="accent4" w:themeFillTint="33"/>
          </w:tcPr>
          <w:p w14:paraId="16206EB5" w14:textId="50106C67" w:rsidR="00AE7B9C" w:rsidRDefault="00AE7B9C" w:rsidP="0058605D">
            <w:r>
              <w:t>Indirect risk</w:t>
            </w:r>
          </w:p>
        </w:tc>
      </w:tr>
      <w:tr w:rsidR="00AE7B9C" w14:paraId="7F25B410" w14:textId="77777777" w:rsidTr="67A4AC7A">
        <w:tc>
          <w:tcPr>
            <w:tcW w:w="507" w:type="pct"/>
            <w:vMerge/>
          </w:tcPr>
          <w:p w14:paraId="60D8F2F1" w14:textId="622EA8CD" w:rsidR="00AE7B9C" w:rsidRDefault="00AE7B9C" w:rsidP="000B7138"/>
        </w:tc>
        <w:tc>
          <w:tcPr>
            <w:tcW w:w="3014" w:type="pct"/>
            <w:shd w:val="clear" w:color="auto" w:fill="FFF2CC" w:themeFill="accent4" w:themeFillTint="33"/>
          </w:tcPr>
          <w:p w14:paraId="7DECFF82" w14:textId="352CC6DA" w:rsidR="00AE7B9C" w:rsidRDefault="00AE7B9C" w:rsidP="0058605D">
            <w:pPr>
              <w:rPr>
                <w:b/>
              </w:rPr>
            </w:pPr>
            <w:r>
              <w:rPr>
                <w:b/>
              </w:rPr>
              <w:t xml:space="preserve">Public transport users: </w:t>
            </w:r>
            <w:r w:rsidRPr="00AE7B9C">
              <w:t>staff</w:t>
            </w:r>
            <w:r>
              <w:t xml:space="preserve"> who rely on public transport to get to and from work may need additional flexibility and may feel increased anxiety about coming to campus</w:t>
            </w:r>
          </w:p>
        </w:tc>
        <w:tc>
          <w:tcPr>
            <w:tcW w:w="317" w:type="pct"/>
            <w:shd w:val="clear" w:color="auto" w:fill="auto"/>
          </w:tcPr>
          <w:p w14:paraId="08131704" w14:textId="77777777" w:rsidR="00AE7B9C" w:rsidRDefault="00AE7B9C" w:rsidP="000B7138"/>
        </w:tc>
        <w:tc>
          <w:tcPr>
            <w:tcW w:w="1162" w:type="pct"/>
            <w:shd w:val="clear" w:color="auto" w:fill="FFF2CC" w:themeFill="accent4" w:themeFillTint="33"/>
          </w:tcPr>
          <w:p w14:paraId="5F66A06F" w14:textId="42C807AB" w:rsidR="00AE7B9C" w:rsidRDefault="00AE7B9C" w:rsidP="0058605D">
            <w:r>
              <w:t>Indirect risk</w:t>
            </w:r>
          </w:p>
        </w:tc>
      </w:tr>
    </w:tbl>
    <w:p w14:paraId="4963651B" w14:textId="66D646B6" w:rsidR="00C13FA9" w:rsidRDefault="00C13FA9" w:rsidP="00C13FA9"/>
    <w:p w14:paraId="5B331FAB" w14:textId="435EE04E" w:rsidR="00CE504D" w:rsidRDefault="00CE504D" w:rsidP="00CE504D">
      <w:pPr>
        <w:pStyle w:val="Heading2"/>
        <w:rPr>
          <w:b/>
        </w:rPr>
      </w:pPr>
      <w:r w:rsidRPr="00CE504D">
        <w:rPr>
          <w:b/>
        </w:rPr>
        <w:t xml:space="preserve">Risk level identified: </w:t>
      </w:r>
    </w:p>
    <w:p w14:paraId="29CFDEDD" w14:textId="54614D29" w:rsidR="00CE504D" w:rsidRPr="00CE504D" w:rsidRDefault="00CE504D" w:rsidP="00CE504D">
      <w:r>
        <w:t xml:space="preserve">Use bold to identify risk categories agreed. </w:t>
      </w:r>
    </w:p>
    <w:tbl>
      <w:tblPr>
        <w:tblStyle w:val="TableGrid"/>
        <w:tblW w:w="0" w:type="auto"/>
        <w:tblLook w:val="04A0" w:firstRow="1" w:lastRow="0" w:firstColumn="1" w:lastColumn="0" w:noHBand="0" w:noVBand="1"/>
      </w:tblPr>
      <w:tblGrid>
        <w:gridCol w:w="3487"/>
        <w:gridCol w:w="3487"/>
        <w:gridCol w:w="3487"/>
        <w:gridCol w:w="3487"/>
      </w:tblGrid>
      <w:tr w:rsidR="00CE504D" w:rsidRPr="00CE504D" w14:paraId="09DA973E" w14:textId="77777777" w:rsidTr="00CE504D">
        <w:tc>
          <w:tcPr>
            <w:tcW w:w="3487" w:type="dxa"/>
            <w:shd w:val="clear" w:color="auto" w:fill="FF8585"/>
          </w:tcPr>
          <w:p w14:paraId="5352DB28" w14:textId="77777777" w:rsidR="00CE504D" w:rsidRPr="00CE504D" w:rsidRDefault="00CE504D" w:rsidP="001C65FF">
            <w:r w:rsidRPr="00CE504D">
              <w:t>Clinically extremely vulnerable</w:t>
            </w:r>
          </w:p>
        </w:tc>
        <w:tc>
          <w:tcPr>
            <w:tcW w:w="3487" w:type="dxa"/>
            <w:shd w:val="clear" w:color="auto" w:fill="F4B083" w:themeFill="accent2" w:themeFillTint="99"/>
          </w:tcPr>
          <w:p w14:paraId="2CAE66EC" w14:textId="77777777" w:rsidR="00CE504D" w:rsidRPr="00CE504D" w:rsidRDefault="00CE504D" w:rsidP="001C65FF">
            <w:r w:rsidRPr="00CE504D">
              <w:t>Vulnerable</w:t>
            </w:r>
          </w:p>
        </w:tc>
        <w:tc>
          <w:tcPr>
            <w:tcW w:w="3487" w:type="dxa"/>
            <w:shd w:val="clear" w:color="auto" w:fill="FFE599" w:themeFill="accent4" w:themeFillTint="66"/>
          </w:tcPr>
          <w:p w14:paraId="39AF39F6" w14:textId="77777777" w:rsidR="00CE504D" w:rsidRPr="00CE504D" w:rsidRDefault="00CE504D" w:rsidP="001C65FF">
            <w:r w:rsidRPr="00CE504D">
              <w:t>Heightened Risk</w:t>
            </w:r>
          </w:p>
        </w:tc>
        <w:tc>
          <w:tcPr>
            <w:tcW w:w="3487" w:type="dxa"/>
            <w:shd w:val="clear" w:color="auto" w:fill="auto"/>
          </w:tcPr>
          <w:p w14:paraId="124F5E1F" w14:textId="77777777" w:rsidR="00CE504D" w:rsidRPr="00CE504D" w:rsidRDefault="00CE504D" w:rsidP="001C65FF">
            <w:r w:rsidRPr="00CE504D">
              <w:t>No additional risks identified</w:t>
            </w:r>
          </w:p>
        </w:tc>
      </w:tr>
    </w:tbl>
    <w:p w14:paraId="6FF02453" w14:textId="77777777" w:rsidR="00CE504D" w:rsidRDefault="00CE504D" w:rsidP="00CE504D">
      <w:pPr>
        <w:rPr>
          <w:b/>
        </w:rPr>
      </w:pPr>
    </w:p>
    <w:p w14:paraId="431BD540" w14:textId="0C543DC9" w:rsidR="00CE504D" w:rsidRPr="00A17C91" w:rsidRDefault="00CE504D" w:rsidP="00CE504D">
      <w:pPr>
        <w:rPr>
          <w:b/>
        </w:rPr>
      </w:pPr>
      <w:r w:rsidRPr="00CE504D">
        <w:rPr>
          <w:bdr w:val="single" w:sz="4" w:space="0" w:color="auto"/>
          <w:shd w:val="clear" w:color="auto" w:fill="FFF2CC" w:themeFill="accent4" w:themeFillTint="33"/>
        </w:rPr>
        <w:t>Indirect Risks</w:t>
      </w:r>
    </w:p>
    <w:p w14:paraId="11B4394D" w14:textId="1F62D255" w:rsidR="00843BD2" w:rsidRDefault="004D18AB" w:rsidP="00843BD2">
      <w:pPr>
        <w:pStyle w:val="Heading1"/>
      </w:pPr>
      <w:r>
        <w:t xml:space="preserve">Part 3. </w:t>
      </w:r>
      <w:r w:rsidR="00843BD2">
        <w:t>Individual Level Mitigations</w:t>
      </w:r>
      <w:r w:rsidR="00DB3894">
        <w:t xml:space="preserve"> </w:t>
      </w:r>
    </w:p>
    <w:p w14:paraId="17A1145D" w14:textId="4523E49A" w:rsidR="004D18AB" w:rsidRPr="004D18AB" w:rsidRDefault="004D18AB" w:rsidP="004D18AB">
      <w:r>
        <w:t xml:space="preserve">Use the information from the table above to match your individual risk category from part 1 to your required mitigation category using the table below. Consider the highest risk </w:t>
      </w:r>
      <w:r w:rsidR="004067DD">
        <w:t>category only (i</w:t>
      </w:r>
      <w:r>
        <w:t>f you ticked the vulnerable box and the heightened risk box</w:t>
      </w:r>
      <w:r w:rsidR="004067DD">
        <w:t>,</w:t>
      </w:r>
      <w:r>
        <w:t xml:space="preserve"> follow the vulnerable mitigation guidance). </w:t>
      </w:r>
      <w:r w:rsidR="004067DD">
        <w:t xml:space="preserve">In addition, using the table above, </w:t>
      </w:r>
      <w:r>
        <w:t>consider whet</w:t>
      </w:r>
      <w:r w:rsidR="004067DD">
        <w:t xml:space="preserve">her indirect risks are present and whether mitigations need to be considered to mitigate these. </w:t>
      </w:r>
    </w:p>
    <w:tbl>
      <w:tblPr>
        <w:tblStyle w:val="TableGrid"/>
        <w:tblW w:w="5000" w:type="pct"/>
        <w:tblLook w:val="04A0" w:firstRow="1" w:lastRow="0" w:firstColumn="1" w:lastColumn="0" w:noHBand="0" w:noVBand="1"/>
      </w:tblPr>
      <w:tblGrid>
        <w:gridCol w:w="2098"/>
        <w:gridCol w:w="9521"/>
        <w:gridCol w:w="2329"/>
      </w:tblGrid>
      <w:tr w:rsidR="00F96212" w14:paraId="4212D3DE" w14:textId="2F2E0C4B" w:rsidTr="67A4AC7A">
        <w:tc>
          <w:tcPr>
            <w:tcW w:w="752" w:type="pct"/>
            <w:vAlign w:val="center"/>
          </w:tcPr>
          <w:p w14:paraId="7A3D762D" w14:textId="2BB2FCCE" w:rsidR="00F96212" w:rsidRPr="00843BD2" w:rsidRDefault="00F96212" w:rsidP="004D18AB">
            <w:pPr>
              <w:jc w:val="center"/>
              <w:rPr>
                <w:b/>
              </w:rPr>
            </w:pPr>
            <w:r w:rsidRPr="00843BD2">
              <w:rPr>
                <w:b/>
              </w:rPr>
              <w:t xml:space="preserve">Individual Risk </w:t>
            </w:r>
            <w:r w:rsidR="004D18AB">
              <w:rPr>
                <w:b/>
              </w:rPr>
              <w:t>Category</w:t>
            </w:r>
          </w:p>
        </w:tc>
        <w:tc>
          <w:tcPr>
            <w:tcW w:w="3413" w:type="pct"/>
            <w:vAlign w:val="center"/>
          </w:tcPr>
          <w:p w14:paraId="22EB907D" w14:textId="79FB3129" w:rsidR="00F96212" w:rsidRPr="00843BD2" w:rsidRDefault="00F96212" w:rsidP="00F96212">
            <w:pPr>
              <w:jc w:val="center"/>
              <w:rPr>
                <w:b/>
              </w:rPr>
            </w:pPr>
            <w:r w:rsidRPr="00843BD2">
              <w:rPr>
                <w:b/>
              </w:rPr>
              <w:t>Mitigation category</w:t>
            </w:r>
          </w:p>
        </w:tc>
        <w:tc>
          <w:tcPr>
            <w:tcW w:w="835" w:type="pct"/>
            <w:shd w:val="clear" w:color="auto" w:fill="auto"/>
            <w:vAlign w:val="center"/>
          </w:tcPr>
          <w:p w14:paraId="149A5531" w14:textId="0AE421E5" w:rsidR="00F96212" w:rsidRPr="00843BD2" w:rsidRDefault="00F96212" w:rsidP="00F96212">
            <w:pPr>
              <w:jc w:val="center"/>
              <w:rPr>
                <w:b/>
              </w:rPr>
            </w:pPr>
            <w:r>
              <w:rPr>
                <w:b/>
              </w:rPr>
              <w:t>Individual’s mitigation level (</w:t>
            </w:r>
            <w:r>
              <w:rPr>
                <w:rFonts w:ascii="Segoe UI Symbol" w:hAnsi="Segoe UI Symbol"/>
                <w:b/>
              </w:rPr>
              <w:t>✓</w:t>
            </w:r>
            <w:r>
              <w:rPr>
                <w:b/>
              </w:rPr>
              <w:t>)</w:t>
            </w:r>
          </w:p>
        </w:tc>
      </w:tr>
      <w:tr w:rsidR="00F96212" w14:paraId="5A3D06CF" w14:textId="7FC2F843" w:rsidTr="67A4AC7A">
        <w:tc>
          <w:tcPr>
            <w:tcW w:w="752" w:type="pct"/>
            <w:shd w:val="clear" w:color="auto" w:fill="FF7171"/>
          </w:tcPr>
          <w:p w14:paraId="6756B7EC" w14:textId="30EFE69D" w:rsidR="00F96212" w:rsidRPr="004D18AB" w:rsidRDefault="00F96212" w:rsidP="00843BD2">
            <w:pPr>
              <w:rPr>
                <w:b/>
              </w:rPr>
            </w:pPr>
            <w:r w:rsidRPr="004D18AB">
              <w:rPr>
                <w:b/>
              </w:rPr>
              <w:t>Clinically extremely vulnerable</w:t>
            </w:r>
          </w:p>
        </w:tc>
        <w:tc>
          <w:tcPr>
            <w:tcW w:w="3413" w:type="pct"/>
            <w:shd w:val="clear" w:color="auto" w:fill="FF7171"/>
          </w:tcPr>
          <w:p w14:paraId="67ACA8FE" w14:textId="52C5921D" w:rsidR="00F96212" w:rsidRDefault="00F96212" w:rsidP="00843BD2">
            <w:r w:rsidRPr="67A4AC7A">
              <w:rPr>
                <w:b/>
                <w:bCs/>
              </w:rPr>
              <w:t>Shielding –</w:t>
            </w:r>
            <w:r>
              <w:t xml:space="preserve"> individual may work from home if role enables this but must not work on site. Individuals in this category whose role doesn’t enable them to work from home should be placed on special leave.</w:t>
            </w:r>
          </w:p>
          <w:p w14:paraId="04DAD57E" w14:textId="3D7ED62D" w:rsidR="00F96212" w:rsidRDefault="149F7347" w:rsidP="67A4AC7A">
            <w:pPr>
              <w:rPr>
                <w:rFonts w:ascii="Calibri" w:eastAsia="Calibri" w:hAnsi="Calibri" w:cs="Calibri"/>
              </w:rPr>
            </w:pPr>
            <w:r w:rsidRPr="67A4AC7A">
              <w:t>(</w:t>
            </w:r>
            <w:r w:rsidRPr="67A4AC7A">
              <w:rPr>
                <w:rFonts w:ascii="Calibri" w:eastAsia="Calibri" w:hAnsi="Calibri" w:cs="Calibri"/>
              </w:rPr>
              <w:t>from 1st Aug assumption is that everyone moves to precautionary approach level)</w:t>
            </w:r>
          </w:p>
        </w:tc>
        <w:tc>
          <w:tcPr>
            <w:tcW w:w="835" w:type="pct"/>
            <w:shd w:val="clear" w:color="auto" w:fill="auto"/>
          </w:tcPr>
          <w:p w14:paraId="75BB1CC5" w14:textId="77777777" w:rsidR="00F96212" w:rsidRPr="00843BD2" w:rsidRDefault="00F96212" w:rsidP="00843BD2">
            <w:pPr>
              <w:rPr>
                <w:b/>
              </w:rPr>
            </w:pPr>
          </w:p>
        </w:tc>
      </w:tr>
      <w:tr w:rsidR="00F96212" w14:paraId="096147D1" w14:textId="264BAA47" w:rsidTr="67A4AC7A">
        <w:tc>
          <w:tcPr>
            <w:tcW w:w="752" w:type="pct"/>
            <w:shd w:val="clear" w:color="auto" w:fill="FF7171"/>
          </w:tcPr>
          <w:p w14:paraId="723B0A57" w14:textId="450D1F7C" w:rsidR="00F96212" w:rsidRPr="004D18AB" w:rsidRDefault="00F96212" w:rsidP="00843BD2">
            <w:pPr>
              <w:rPr>
                <w:b/>
              </w:rPr>
            </w:pPr>
            <w:r w:rsidRPr="004D18AB">
              <w:rPr>
                <w:b/>
              </w:rPr>
              <w:t xml:space="preserve">Pregnant: after 28 weeks gestation </w:t>
            </w:r>
            <w:r w:rsidRPr="004D18AB">
              <w:rPr>
                <w:b/>
                <w:i/>
              </w:rPr>
              <w:t>or</w:t>
            </w:r>
            <w:r w:rsidRPr="004D18AB">
              <w:rPr>
                <w:b/>
              </w:rPr>
              <w:t xml:space="preserve"> with underlying health condition</w:t>
            </w:r>
          </w:p>
        </w:tc>
        <w:tc>
          <w:tcPr>
            <w:tcW w:w="3413" w:type="pct"/>
            <w:shd w:val="clear" w:color="auto" w:fill="FF7171"/>
          </w:tcPr>
          <w:p w14:paraId="5E088EF5" w14:textId="267B2D5D" w:rsidR="00F96212" w:rsidRDefault="00F96212" w:rsidP="00781200">
            <w:r w:rsidRPr="00781200">
              <w:rPr>
                <w:b/>
              </w:rPr>
              <w:t>Precautionary approach</w:t>
            </w:r>
            <w:r>
              <w:t xml:space="preserve"> – </w:t>
            </w:r>
            <w:r w:rsidR="004D18AB">
              <w:t>individual should work from home wherever possible. Colleagues who are working on campus, either due to their role demands or their personal situation should ensure they closely follow risk mitigations. Use the COVID-19 – managing people guidance to identify appropriate mitigations to address individual risks.</w:t>
            </w:r>
          </w:p>
        </w:tc>
        <w:tc>
          <w:tcPr>
            <w:tcW w:w="835" w:type="pct"/>
            <w:shd w:val="clear" w:color="auto" w:fill="auto"/>
          </w:tcPr>
          <w:p w14:paraId="3FD0313F" w14:textId="77777777" w:rsidR="00F96212" w:rsidRPr="00781200" w:rsidRDefault="00F96212" w:rsidP="00781200">
            <w:pPr>
              <w:rPr>
                <w:b/>
              </w:rPr>
            </w:pPr>
          </w:p>
        </w:tc>
      </w:tr>
      <w:tr w:rsidR="00F96212" w14:paraId="0DC2EC4F" w14:textId="30FE145B" w:rsidTr="67A4AC7A">
        <w:tc>
          <w:tcPr>
            <w:tcW w:w="752" w:type="pct"/>
            <w:shd w:val="clear" w:color="auto" w:fill="F4B083" w:themeFill="accent2" w:themeFillTint="99"/>
          </w:tcPr>
          <w:p w14:paraId="6933F514" w14:textId="26149B26" w:rsidR="00F96212" w:rsidRPr="004D18AB" w:rsidRDefault="00F96212" w:rsidP="00843BD2">
            <w:pPr>
              <w:rPr>
                <w:b/>
              </w:rPr>
            </w:pPr>
            <w:r w:rsidRPr="004D18AB">
              <w:rPr>
                <w:b/>
              </w:rPr>
              <w:lastRenderedPageBreak/>
              <w:t xml:space="preserve">Vulnerable </w:t>
            </w:r>
          </w:p>
        </w:tc>
        <w:tc>
          <w:tcPr>
            <w:tcW w:w="3413" w:type="pct"/>
            <w:shd w:val="clear" w:color="auto" w:fill="F4B083" w:themeFill="accent2" w:themeFillTint="99"/>
          </w:tcPr>
          <w:p w14:paraId="4FD32FB1" w14:textId="77777777" w:rsidR="004D18AB" w:rsidRDefault="00F96212" w:rsidP="004D18AB">
            <w:r>
              <w:rPr>
                <w:b/>
              </w:rPr>
              <w:t xml:space="preserve">Precautionary approach - </w:t>
            </w:r>
            <w:r>
              <w:t xml:space="preserve">individual should work from home wherever possible. Colleagues who are working on campus, either due to their role demands or their personal situation should ensure they closely follow risk mitigations. </w:t>
            </w:r>
            <w:r w:rsidR="004D18AB">
              <w:t xml:space="preserve">Use the COVID-19 – managing people guidance to identify appropriate mitigations to address individual risks. </w:t>
            </w:r>
          </w:p>
          <w:p w14:paraId="094DEE7D" w14:textId="598B4B43" w:rsidR="00F96212" w:rsidRPr="00781200" w:rsidRDefault="00F96212" w:rsidP="004D18AB">
            <w:pPr>
              <w:rPr>
                <w:b/>
              </w:rPr>
            </w:pPr>
          </w:p>
        </w:tc>
        <w:tc>
          <w:tcPr>
            <w:tcW w:w="835" w:type="pct"/>
            <w:shd w:val="clear" w:color="auto" w:fill="auto"/>
          </w:tcPr>
          <w:p w14:paraId="1E5FB210" w14:textId="77777777" w:rsidR="00F96212" w:rsidRDefault="00F96212" w:rsidP="000B7138">
            <w:pPr>
              <w:rPr>
                <w:b/>
              </w:rPr>
            </w:pPr>
          </w:p>
        </w:tc>
      </w:tr>
      <w:tr w:rsidR="00F96212" w14:paraId="40C96800" w14:textId="583EE2D5" w:rsidTr="67A4AC7A">
        <w:tc>
          <w:tcPr>
            <w:tcW w:w="752" w:type="pct"/>
            <w:shd w:val="clear" w:color="auto" w:fill="FFE599" w:themeFill="accent4" w:themeFillTint="66"/>
          </w:tcPr>
          <w:p w14:paraId="4C8A885C" w14:textId="03E4F24D" w:rsidR="00F96212" w:rsidRPr="000B7138" w:rsidRDefault="00F96212" w:rsidP="004D18AB">
            <w:pPr>
              <w:rPr>
                <w:b/>
              </w:rPr>
            </w:pPr>
            <w:r w:rsidRPr="000B7138">
              <w:rPr>
                <w:b/>
              </w:rPr>
              <w:t>Heightened Risk</w:t>
            </w:r>
            <w:r w:rsidR="004D18AB">
              <w:rPr>
                <w:b/>
              </w:rPr>
              <w:t>s</w:t>
            </w:r>
            <w:r w:rsidRPr="000B7138">
              <w:rPr>
                <w:b/>
              </w:rPr>
              <w:t xml:space="preserve"> </w:t>
            </w:r>
          </w:p>
        </w:tc>
        <w:tc>
          <w:tcPr>
            <w:tcW w:w="3413" w:type="pct"/>
            <w:shd w:val="clear" w:color="auto" w:fill="auto"/>
          </w:tcPr>
          <w:p w14:paraId="07337BE3" w14:textId="074DFB22" w:rsidR="00F96212" w:rsidRDefault="00F96212" w:rsidP="00DB3894">
            <w:r>
              <w:t>The impact of risk factors can be cumulative</w:t>
            </w:r>
            <w:r w:rsidR="004D18AB">
              <w:t xml:space="preserve"> (often individuals will be affected by more than one risk)</w:t>
            </w:r>
            <w:r>
              <w:t xml:space="preserve"> and </w:t>
            </w:r>
            <w:r w:rsidR="004D18AB">
              <w:t xml:space="preserve">agreeing appropriate risk mitigations should be done as part of a conversation between the individual and their manager. The following table should help you to consider the pattern of heightened </w:t>
            </w:r>
          </w:p>
          <w:p w14:paraId="586B7EC6" w14:textId="7F15BBD1" w:rsidR="00F96212" w:rsidRDefault="00F96212" w:rsidP="00DB3894"/>
          <w:tbl>
            <w:tblPr>
              <w:tblStyle w:val="TableGrid"/>
              <w:tblW w:w="0" w:type="auto"/>
              <w:tblLook w:val="04A0" w:firstRow="1" w:lastRow="0" w:firstColumn="1" w:lastColumn="0" w:noHBand="0" w:noVBand="1"/>
            </w:tblPr>
            <w:tblGrid>
              <w:gridCol w:w="1593"/>
              <w:gridCol w:w="3049"/>
              <w:gridCol w:w="2321"/>
            </w:tblGrid>
            <w:tr w:rsidR="00F96212" w14:paraId="6E338C04" w14:textId="77777777" w:rsidTr="67A4AC7A">
              <w:tc>
                <w:tcPr>
                  <w:tcW w:w="1593" w:type="dxa"/>
                </w:tcPr>
                <w:p w14:paraId="51C32371" w14:textId="23E912BF" w:rsidR="00F96212" w:rsidRPr="000B7138" w:rsidRDefault="00F96212" w:rsidP="00DB3894">
                  <w:pPr>
                    <w:rPr>
                      <w:b/>
                    </w:rPr>
                  </w:pPr>
                  <w:r w:rsidRPr="000B7138">
                    <w:rPr>
                      <w:b/>
                    </w:rPr>
                    <w:t>Heightened risk factors</w:t>
                  </w:r>
                </w:p>
              </w:tc>
              <w:tc>
                <w:tcPr>
                  <w:tcW w:w="5370" w:type="dxa"/>
                  <w:gridSpan w:val="2"/>
                </w:tcPr>
                <w:p w14:paraId="494E6D68" w14:textId="4D881635" w:rsidR="00F96212" w:rsidRPr="000B7138" w:rsidRDefault="00F96212" w:rsidP="0C034499">
                  <w:pPr>
                    <w:rPr>
                      <w:b/>
                      <w:bCs/>
                    </w:rPr>
                  </w:pPr>
                  <w:r>
                    <w:rPr>
                      <w:b/>
                      <w:noProof/>
                      <w:lang w:eastAsia="en-GB"/>
                    </w:rPr>
                    <w:drawing>
                      <wp:anchor distT="0" distB="0" distL="114300" distR="114300" simplePos="0" relativeHeight="251660288" behindDoc="0" locked="0" layoutInCell="1" allowOverlap="1" wp14:anchorId="0DD4FA15" wp14:editId="7FDF10E4">
                        <wp:simplePos x="0" y="0"/>
                        <wp:positionH relativeFrom="column">
                          <wp:posOffset>913765</wp:posOffset>
                        </wp:positionH>
                        <wp:positionV relativeFrom="paragraph">
                          <wp:posOffset>-8255</wp:posOffset>
                        </wp:positionV>
                        <wp:extent cx="1285875" cy="377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377825"/>
                                </a:xfrm>
                                <a:prstGeom prst="rect">
                                  <a:avLst/>
                                </a:prstGeom>
                                <a:noFill/>
                              </pic:spPr>
                            </pic:pic>
                          </a:graphicData>
                        </a:graphic>
                        <wp14:sizeRelH relativeFrom="margin">
                          <wp14:pctWidth>0</wp14:pctWidth>
                        </wp14:sizeRelH>
                      </wp:anchor>
                    </w:drawing>
                  </w:r>
                  <w:r w:rsidR="37B0F8ED" w:rsidRPr="0C034499">
                    <w:rPr>
                      <w:b/>
                      <w:bCs/>
                    </w:rPr>
                    <w:t>Weakening                                                        Strengthening</w:t>
                  </w:r>
                </w:p>
                <w:p w14:paraId="42450DE9" w14:textId="64C3FAD4" w:rsidR="00F96212" w:rsidRDefault="00F96212" w:rsidP="000B7138">
                  <w:r w:rsidRPr="000B7138">
                    <w:rPr>
                      <w:b/>
                    </w:rPr>
                    <w:t xml:space="preserve">of risk                                     </w:t>
                  </w:r>
                  <w:r>
                    <w:rPr>
                      <w:b/>
                    </w:rPr>
                    <w:t xml:space="preserve">                </w:t>
                  </w:r>
                  <w:r w:rsidRPr="000B7138">
                    <w:rPr>
                      <w:b/>
                    </w:rPr>
                    <w:t xml:space="preserve">             of risk</w:t>
                  </w:r>
                </w:p>
              </w:tc>
            </w:tr>
            <w:tr w:rsidR="00F96212" w14:paraId="633DDAAA" w14:textId="77777777" w:rsidTr="67A4AC7A">
              <w:tc>
                <w:tcPr>
                  <w:tcW w:w="1593" w:type="dxa"/>
                </w:tcPr>
                <w:p w14:paraId="4A8F76A1" w14:textId="22FBDBE7" w:rsidR="00F96212" w:rsidRDefault="00F96212" w:rsidP="00DB3894">
                  <w:r>
                    <w:t>Age</w:t>
                  </w:r>
                </w:p>
              </w:tc>
              <w:tc>
                <w:tcPr>
                  <w:tcW w:w="3049" w:type="dxa"/>
                </w:tcPr>
                <w:p w14:paraId="7CC6DE05" w14:textId="5D9799B9" w:rsidR="00F96212" w:rsidRDefault="00F96212" w:rsidP="00E4490E">
                  <w:pPr>
                    <w:jc w:val="center"/>
                  </w:pPr>
                  <w:r>
                    <w:t>&lt;50</w:t>
                  </w:r>
                </w:p>
              </w:tc>
              <w:tc>
                <w:tcPr>
                  <w:tcW w:w="2321" w:type="dxa"/>
                </w:tcPr>
                <w:p w14:paraId="7440565B" w14:textId="53F51ECE" w:rsidR="00F96212" w:rsidRDefault="00F96212" w:rsidP="00E4490E">
                  <w:pPr>
                    <w:jc w:val="center"/>
                  </w:pPr>
                  <w:r>
                    <w:t>&gt;50</w:t>
                  </w:r>
                </w:p>
              </w:tc>
            </w:tr>
            <w:tr w:rsidR="00F96212" w14:paraId="54CAC9A5" w14:textId="77777777" w:rsidTr="67A4AC7A">
              <w:tc>
                <w:tcPr>
                  <w:tcW w:w="1593" w:type="dxa"/>
                </w:tcPr>
                <w:p w14:paraId="09CFD2EA" w14:textId="572EDA96" w:rsidR="00F96212" w:rsidRDefault="00F96212" w:rsidP="00DB3894">
                  <w:r>
                    <w:t>Sex/ Gender</w:t>
                  </w:r>
                </w:p>
              </w:tc>
              <w:tc>
                <w:tcPr>
                  <w:tcW w:w="3049" w:type="dxa"/>
                </w:tcPr>
                <w:p w14:paraId="04DB1B3A" w14:textId="6CB954EA" w:rsidR="00F96212" w:rsidRDefault="00F96212" w:rsidP="00E4490E">
                  <w:pPr>
                    <w:jc w:val="center"/>
                  </w:pPr>
                  <w:r>
                    <w:t>Female</w:t>
                  </w:r>
                </w:p>
              </w:tc>
              <w:tc>
                <w:tcPr>
                  <w:tcW w:w="2321" w:type="dxa"/>
                </w:tcPr>
                <w:p w14:paraId="64B026BB" w14:textId="38592912" w:rsidR="00F96212" w:rsidRDefault="00F96212" w:rsidP="00E4490E">
                  <w:pPr>
                    <w:jc w:val="center"/>
                  </w:pPr>
                  <w:r>
                    <w:t>Male</w:t>
                  </w:r>
                </w:p>
              </w:tc>
            </w:tr>
            <w:tr w:rsidR="00F96212" w14:paraId="595D7321" w14:textId="77777777" w:rsidTr="67A4AC7A">
              <w:tc>
                <w:tcPr>
                  <w:tcW w:w="1593" w:type="dxa"/>
                </w:tcPr>
                <w:p w14:paraId="56FAA477" w14:textId="0360417D" w:rsidR="00F96212" w:rsidRDefault="00F96212" w:rsidP="00DB3894">
                  <w:r>
                    <w:t>BAME background</w:t>
                  </w:r>
                </w:p>
              </w:tc>
              <w:tc>
                <w:tcPr>
                  <w:tcW w:w="3049" w:type="dxa"/>
                </w:tcPr>
                <w:p w14:paraId="68845AF8" w14:textId="77C3AAF3" w:rsidR="00F96212" w:rsidRDefault="00F96212" w:rsidP="00E4490E">
                  <w:pPr>
                    <w:jc w:val="center"/>
                  </w:pPr>
                  <w:r>
                    <w:t>No</w:t>
                  </w:r>
                </w:p>
              </w:tc>
              <w:tc>
                <w:tcPr>
                  <w:tcW w:w="2321" w:type="dxa"/>
                </w:tcPr>
                <w:p w14:paraId="38A2D1F5" w14:textId="517FE8BD" w:rsidR="00F96212" w:rsidRDefault="00F96212" w:rsidP="00E4490E">
                  <w:pPr>
                    <w:jc w:val="center"/>
                  </w:pPr>
                  <w:r>
                    <w:t>Yes</w:t>
                  </w:r>
                </w:p>
              </w:tc>
            </w:tr>
          </w:tbl>
          <w:p w14:paraId="25DC9957" w14:textId="74BE3EFB" w:rsidR="00F96212" w:rsidRDefault="00F96212" w:rsidP="00DB3894">
            <w:r w:rsidRPr="00E4490E">
              <w:rPr>
                <w:b/>
              </w:rPr>
              <w:t>Precautionary approach</w:t>
            </w:r>
            <w:r>
              <w:t xml:space="preserve"> – </w:t>
            </w:r>
            <w:r w:rsidR="004D18AB">
              <w:t>individual should work from home wherever possible. Colleagues who are working on campus, either due to their role demands or their personal situation should ensure they closely follow risk mitigations. Use the COVID-19 – managing people guidance to identify appropriate mitigations to address individual risks.</w:t>
            </w:r>
          </w:p>
          <w:p w14:paraId="49A9F163" w14:textId="179E4C64" w:rsidR="00F96212" w:rsidRDefault="00F96212" w:rsidP="00DB3894"/>
          <w:p w14:paraId="2EE5619C" w14:textId="28305C13" w:rsidR="00F96212" w:rsidRDefault="00A17C91" w:rsidP="00DB3894">
            <w:r>
              <w:rPr>
                <w:b/>
              </w:rPr>
              <w:t>COVID-Secure</w:t>
            </w:r>
            <w:r w:rsidR="00F96212" w:rsidRPr="00E4490E">
              <w:rPr>
                <w:b/>
              </w:rPr>
              <w:t xml:space="preserve"> approach</w:t>
            </w:r>
            <w:r w:rsidR="00F96212">
              <w:t xml:space="preserve"> – individuals who have </w:t>
            </w:r>
            <w:r w:rsidR="004D18AB">
              <w:t xml:space="preserve">a lower risk profile of </w:t>
            </w:r>
            <w:r w:rsidR="00F96212">
              <w:t>heightened risk</w:t>
            </w:r>
            <w:r w:rsidR="004D18AB">
              <w:t>s</w:t>
            </w:r>
            <w:r w:rsidR="00F96212">
              <w:t xml:space="preserve"> should be encouraged to undertake a mix of working from home and on campus to enable them to most effectively carry out their role. Everyone should ensure they closely follow risk mitigations. Managers should put appropriate mitigations and support in place to enable this support.</w:t>
            </w:r>
          </w:p>
          <w:p w14:paraId="799E1646" w14:textId="525BC68B" w:rsidR="00F96212" w:rsidRPr="00DB3894" w:rsidRDefault="00F96212" w:rsidP="00DB3894"/>
        </w:tc>
        <w:tc>
          <w:tcPr>
            <w:tcW w:w="835" w:type="pct"/>
            <w:shd w:val="clear" w:color="auto" w:fill="auto"/>
          </w:tcPr>
          <w:p w14:paraId="7F90E91B" w14:textId="054379E7" w:rsidR="00F96212" w:rsidRDefault="00F96212" w:rsidP="004067DD">
            <w:r>
              <w:t xml:space="preserve">(Specify precautionary approach or </w:t>
            </w:r>
            <w:r w:rsidR="004067DD">
              <w:t>COVID</w:t>
            </w:r>
            <w:r w:rsidR="00A17C91">
              <w:t>-Secure</w:t>
            </w:r>
            <w:r>
              <w:t xml:space="preserve"> approach)</w:t>
            </w:r>
          </w:p>
        </w:tc>
      </w:tr>
      <w:tr w:rsidR="00F96212" w14:paraId="01DA1A62" w14:textId="754BA7F1" w:rsidTr="67A4AC7A">
        <w:tc>
          <w:tcPr>
            <w:tcW w:w="752" w:type="pct"/>
            <w:shd w:val="clear" w:color="auto" w:fill="FFF2CC" w:themeFill="accent4" w:themeFillTint="33"/>
          </w:tcPr>
          <w:p w14:paraId="7B49109B" w14:textId="5A2FBEF9" w:rsidR="00F96212" w:rsidRPr="000B7138" w:rsidRDefault="004D18AB" w:rsidP="004D18AB">
            <w:pPr>
              <w:rPr>
                <w:b/>
              </w:rPr>
            </w:pPr>
            <w:r>
              <w:rPr>
                <w:b/>
              </w:rPr>
              <w:t>Indirect Risks</w:t>
            </w:r>
          </w:p>
        </w:tc>
        <w:tc>
          <w:tcPr>
            <w:tcW w:w="3413" w:type="pct"/>
            <w:shd w:val="clear" w:color="auto" w:fill="auto"/>
          </w:tcPr>
          <w:p w14:paraId="0E1E7649" w14:textId="0607BA1B" w:rsidR="00F96212" w:rsidRDefault="00F96212" w:rsidP="00E4490E">
            <w:r>
              <w:t xml:space="preserve">Individuals whose personal circumstances mean working patterns, location or requirements may need to be considered. </w:t>
            </w:r>
          </w:p>
          <w:p w14:paraId="717B4AFD" w14:textId="21F8BA0F" w:rsidR="00F96212" w:rsidRDefault="00F96212" w:rsidP="00E4490E"/>
          <w:p w14:paraId="5E068586" w14:textId="4D4AE64C" w:rsidR="00F96212" w:rsidRDefault="37B0F8ED" w:rsidP="00E4490E">
            <w:r>
              <w:t xml:space="preserve">This category can be used alongside the precautionary or </w:t>
            </w:r>
            <w:r w:rsidR="0D8AA8F0">
              <w:t>COVID-Secure</w:t>
            </w:r>
            <w:r>
              <w:t xml:space="preserve"> approaches described above.</w:t>
            </w:r>
          </w:p>
          <w:p w14:paraId="1265A0EA" w14:textId="5FDAF15F" w:rsidR="00F96212" w:rsidRDefault="00F96212" w:rsidP="00E4490E"/>
          <w:p w14:paraId="6D6AA479" w14:textId="33BA29A6" w:rsidR="00F96212" w:rsidRPr="00F96212" w:rsidRDefault="00F96212" w:rsidP="00E4490E">
            <w:r w:rsidRPr="00E4490E">
              <w:rPr>
                <w:b/>
              </w:rPr>
              <w:t>Flexible approach</w:t>
            </w:r>
            <w:r>
              <w:t xml:space="preserve"> – individuals should work with their manager to create an effective plan for work that meets the need of the individual and the university. </w:t>
            </w:r>
          </w:p>
          <w:p w14:paraId="3D0EF502" w14:textId="777CE9B3" w:rsidR="00F96212" w:rsidRDefault="00F96212" w:rsidP="00E4490E"/>
        </w:tc>
        <w:tc>
          <w:tcPr>
            <w:tcW w:w="835" w:type="pct"/>
            <w:shd w:val="clear" w:color="auto" w:fill="auto"/>
          </w:tcPr>
          <w:p w14:paraId="7276C18F" w14:textId="77777777" w:rsidR="00F96212" w:rsidRDefault="00F96212" w:rsidP="00E4490E"/>
        </w:tc>
      </w:tr>
    </w:tbl>
    <w:p w14:paraId="5E44CE60" w14:textId="4619356A" w:rsidR="0058605D" w:rsidRDefault="0058605D">
      <w:pPr>
        <w:rPr>
          <w:rFonts w:asciiTheme="majorHAnsi" w:eastAsiaTheme="majorEastAsia" w:hAnsiTheme="majorHAnsi" w:cstheme="majorBidi"/>
          <w:color w:val="2E74B5" w:themeColor="accent1" w:themeShade="BF"/>
          <w:sz w:val="32"/>
          <w:szCs w:val="32"/>
        </w:rPr>
      </w:pPr>
      <w:bookmarkStart w:id="0" w:name="_GoBack"/>
      <w:bookmarkEnd w:id="0"/>
    </w:p>
    <w:p w14:paraId="0C1F0F59" w14:textId="1CAE1ABF" w:rsidR="00781200" w:rsidRDefault="00F96212" w:rsidP="00F96212">
      <w:pPr>
        <w:pStyle w:val="Heading1"/>
      </w:pPr>
      <w:r>
        <w:lastRenderedPageBreak/>
        <w:t>Risk Mitigation Plan</w:t>
      </w:r>
    </w:p>
    <w:p w14:paraId="24635C40" w14:textId="77777777" w:rsidR="00CE504D" w:rsidRDefault="00CE504D" w:rsidP="00A17C91">
      <w:pPr>
        <w:rPr>
          <w:b/>
        </w:rPr>
      </w:pPr>
    </w:p>
    <w:p w14:paraId="3EFF1216" w14:textId="20D521BE" w:rsidR="00A17C91" w:rsidRDefault="00A17C91" w:rsidP="00A17C91">
      <w:pPr>
        <w:rPr>
          <w:b/>
        </w:rPr>
      </w:pPr>
      <w:r w:rsidRPr="00A17C91">
        <w:rPr>
          <w:b/>
        </w:rPr>
        <w:t>Risk mitigation category:</w:t>
      </w:r>
      <w:r>
        <w:rPr>
          <w:b/>
        </w:rPr>
        <w:t xml:space="preserve"> </w:t>
      </w:r>
    </w:p>
    <w:tbl>
      <w:tblPr>
        <w:tblStyle w:val="TableGrid"/>
        <w:tblW w:w="0" w:type="auto"/>
        <w:tblLook w:val="04A0" w:firstRow="1" w:lastRow="0" w:firstColumn="1" w:lastColumn="0" w:noHBand="0" w:noVBand="1"/>
      </w:tblPr>
      <w:tblGrid>
        <w:gridCol w:w="3487"/>
        <w:gridCol w:w="3487"/>
        <w:gridCol w:w="3487"/>
      </w:tblGrid>
      <w:tr w:rsidR="00CE504D" w:rsidRPr="00CE504D" w14:paraId="3C9CEB5C" w14:textId="77777777" w:rsidTr="001C65FF">
        <w:tc>
          <w:tcPr>
            <w:tcW w:w="3487" w:type="dxa"/>
            <w:shd w:val="clear" w:color="auto" w:fill="FF8585"/>
          </w:tcPr>
          <w:p w14:paraId="4BB7334B" w14:textId="6BFF58FF" w:rsidR="00CE504D" w:rsidRPr="00CE504D" w:rsidRDefault="00CE504D" w:rsidP="00CE504D">
            <w:r>
              <w:t>Shielding</w:t>
            </w:r>
          </w:p>
        </w:tc>
        <w:tc>
          <w:tcPr>
            <w:tcW w:w="3487" w:type="dxa"/>
            <w:shd w:val="clear" w:color="auto" w:fill="F4B083" w:themeFill="accent2" w:themeFillTint="99"/>
          </w:tcPr>
          <w:p w14:paraId="4E37A188" w14:textId="349B3669" w:rsidR="00CE504D" w:rsidRPr="00CE504D" w:rsidRDefault="00CE504D" w:rsidP="001C65FF">
            <w:r>
              <w:t>Precautionary approaches</w:t>
            </w:r>
          </w:p>
        </w:tc>
        <w:tc>
          <w:tcPr>
            <w:tcW w:w="3487" w:type="dxa"/>
            <w:shd w:val="clear" w:color="auto" w:fill="FFE599" w:themeFill="accent4" w:themeFillTint="66"/>
          </w:tcPr>
          <w:p w14:paraId="473CBDB7" w14:textId="7D9E4F36" w:rsidR="00CE504D" w:rsidRPr="00CE504D" w:rsidRDefault="00CE504D" w:rsidP="001C65FF">
            <w:r>
              <w:t>COVID-Secure approaches</w:t>
            </w:r>
          </w:p>
        </w:tc>
      </w:tr>
    </w:tbl>
    <w:p w14:paraId="2B7C32DE" w14:textId="1D5B8A72" w:rsidR="00CE504D" w:rsidRDefault="00CE504D" w:rsidP="00A17C91">
      <w:pPr>
        <w:rPr>
          <w:b/>
        </w:rPr>
      </w:pPr>
    </w:p>
    <w:p w14:paraId="448DCE8D" w14:textId="31DF3665" w:rsidR="00CE504D" w:rsidRPr="00A17C91" w:rsidRDefault="00707854" w:rsidP="00CE504D">
      <w:pPr>
        <w:rPr>
          <w:b/>
        </w:rPr>
      </w:pPr>
      <w:r>
        <w:rPr>
          <w:bdr w:val="single" w:sz="4" w:space="0" w:color="auto"/>
          <w:shd w:val="clear" w:color="auto" w:fill="FFF2CC" w:themeFill="accent4" w:themeFillTint="33"/>
        </w:rPr>
        <w:t>Flexible</w:t>
      </w:r>
      <w:r w:rsidR="00CE504D">
        <w:rPr>
          <w:bdr w:val="single" w:sz="4" w:space="0" w:color="auto"/>
          <w:shd w:val="clear" w:color="auto" w:fill="FFF2CC" w:themeFill="accent4" w:themeFillTint="33"/>
        </w:rPr>
        <w:t xml:space="preserve"> Approaches</w:t>
      </w:r>
    </w:p>
    <w:p w14:paraId="5BDB08DC" w14:textId="77777777" w:rsidR="00CE504D" w:rsidRPr="00A17C91" w:rsidRDefault="00CE504D" w:rsidP="00A17C91">
      <w:pPr>
        <w:rPr>
          <w:b/>
        </w:rPr>
      </w:pPr>
    </w:p>
    <w:tbl>
      <w:tblPr>
        <w:tblStyle w:val="TableGrid"/>
        <w:tblW w:w="5000" w:type="pct"/>
        <w:tblLook w:val="04A0" w:firstRow="1" w:lastRow="0" w:firstColumn="1" w:lastColumn="0" w:noHBand="0" w:noVBand="1"/>
      </w:tblPr>
      <w:tblGrid>
        <w:gridCol w:w="3487"/>
        <w:gridCol w:w="3487"/>
        <w:gridCol w:w="3487"/>
        <w:gridCol w:w="3487"/>
      </w:tblGrid>
      <w:tr w:rsidR="00A17C91" w14:paraId="46542734" w14:textId="77777777" w:rsidTr="00A17C91">
        <w:tc>
          <w:tcPr>
            <w:tcW w:w="1250" w:type="pct"/>
          </w:tcPr>
          <w:p w14:paraId="6C97D79A" w14:textId="1F0BA463" w:rsidR="00A17C91" w:rsidRPr="0092444B" w:rsidRDefault="00A17C91" w:rsidP="0058605D">
            <w:pPr>
              <w:jc w:val="center"/>
              <w:rPr>
                <w:b/>
              </w:rPr>
            </w:pPr>
            <w:r w:rsidRPr="0092444B">
              <w:rPr>
                <w:b/>
              </w:rPr>
              <w:t xml:space="preserve">Current work </w:t>
            </w:r>
            <w:r>
              <w:rPr>
                <w:b/>
              </w:rPr>
              <w:t>risk</w:t>
            </w:r>
            <w:r w:rsidR="0058605D">
              <w:rPr>
                <w:b/>
              </w:rPr>
              <w:t xml:space="preserve"> or issue identified</w:t>
            </w:r>
          </w:p>
        </w:tc>
        <w:tc>
          <w:tcPr>
            <w:tcW w:w="1250" w:type="pct"/>
          </w:tcPr>
          <w:p w14:paraId="18370DE2" w14:textId="0A2528D2" w:rsidR="00A17C91" w:rsidRPr="0092444B" w:rsidRDefault="00A17C91" w:rsidP="0058605D">
            <w:pPr>
              <w:jc w:val="center"/>
              <w:rPr>
                <w:b/>
              </w:rPr>
            </w:pPr>
            <w:r w:rsidRPr="0092444B">
              <w:rPr>
                <w:b/>
              </w:rPr>
              <w:t>Actions to mitigate risk</w:t>
            </w:r>
          </w:p>
        </w:tc>
        <w:tc>
          <w:tcPr>
            <w:tcW w:w="1250" w:type="pct"/>
          </w:tcPr>
          <w:p w14:paraId="131C4FFA" w14:textId="1FB4C2AC" w:rsidR="00A17C91" w:rsidRPr="0092444B" w:rsidRDefault="00A17C91" w:rsidP="0058605D">
            <w:pPr>
              <w:jc w:val="center"/>
              <w:rPr>
                <w:b/>
              </w:rPr>
            </w:pPr>
            <w:r w:rsidRPr="0092444B">
              <w:rPr>
                <w:b/>
              </w:rPr>
              <w:t>Action holder</w:t>
            </w:r>
          </w:p>
        </w:tc>
        <w:tc>
          <w:tcPr>
            <w:tcW w:w="1250" w:type="pct"/>
          </w:tcPr>
          <w:p w14:paraId="4034D820" w14:textId="2EDDD19E" w:rsidR="00A17C91" w:rsidRPr="0092444B" w:rsidRDefault="00A17C91" w:rsidP="0058605D">
            <w:pPr>
              <w:jc w:val="center"/>
              <w:rPr>
                <w:b/>
              </w:rPr>
            </w:pPr>
            <w:r w:rsidRPr="0092444B">
              <w:rPr>
                <w:b/>
              </w:rPr>
              <w:t>Action due by</w:t>
            </w:r>
          </w:p>
        </w:tc>
      </w:tr>
      <w:tr w:rsidR="00A17C91" w14:paraId="61E6E099" w14:textId="77777777" w:rsidTr="00A17C91">
        <w:tc>
          <w:tcPr>
            <w:tcW w:w="1250" w:type="pct"/>
          </w:tcPr>
          <w:p w14:paraId="762B5017" w14:textId="77777777" w:rsidR="00A17C91" w:rsidRDefault="00A17C91" w:rsidP="00F96212"/>
        </w:tc>
        <w:tc>
          <w:tcPr>
            <w:tcW w:w="1250" w:type="pct"/>
          </w:tcPr>
          <w:p w14:paraId="76AC8148" w14:textId="77777777" w:rsidR="00A17C91" w:rsidRDefault="00A17C91" w:rsidP="00F96212"/>
        </w:tc>
        <w:tc>
          <w:tcPr>
            <w:tcW w:w="1250" w:type="pct"/>
          </w:tcPr>
          <w:p w14:paraId="52E89BF8" w14:textId="77777777" w:rsidR="00A17C91" w:rsidRDefault="00A17C91" w:rsidP="00F96212"/>
        </w:tc>
        <w:tc>
          <w:tcPr>
            <w:tcW w:w="1250" w:type="pct"/>
          </w:tcPr>
          <w:p w14:paraId="40B459D4" w14:textId="77777777" w:rsidR="00A17C91" w:rsidRDefault="00A17C91" w:rsidP="00F96212"/>
        </w:tc>
      </w:tr>
      <w:tr w:rsidR="00A17C91" w14:paraId="0674E0F1" w14:textId="77777777" w:rsidTr="00A17C91">
        <w:tc>
          <w:tcPr>
            <w:tcW w:w="1250" w:type="pct"/>
          </w:tcPr>
          <w:p w14:paraId="38E764EC" w14:textId="77777777" w:rsidR="00A17C91" w:rsidRDefault="00A17C91" w:rsidP="00F96212"/>
        </w:tc>
        <w:tc>
          <w:tcPr>
            <w:tcW w:w="1250" w:type="pct"/>
          </w:tcPr>
          <w:p w14:paraId="201792C5" w14:textId="77777777" w:rsidR="00A17C91" w:rsidRDefault="00A17C91" w:rsidP="00F96212"/>
        </w:tc>
        <w:tc>
          <w:tcPr>
            <w:tcW w:w="1250" w:type="pct"/>
          </w:tcPr>
          <w:p w14:paraId="43664BA9" w14:textId="77777777" w:rsidR="00A17C91" w:rsidRDefault="00A17C91" w:rsidP="00F96212"/>
        </w:tc>
        <w:tc>
          <w:tcPr>
            <w:tcW w:w="1250" w:type="pct"/>
          </w:tcPr>
          <w:p w14:paraId="46715FCC" w14:textId="77777777" w:rsidR="00A17C91" w:rsidRDefault="00A17C91" w:rsidP="00F96212"/>
        </w:tc>
      </w:tr>
      <w:tr w:rsidR="00A17C91" w14:paraId="2F7A7118" w14:textId="77777777" w:rsidTr="00A17C91">
        <w:tc>
          <w:tcPr>
            <w:tcW w:w="1250" w:type="pct"/>
          </w:tcPr>
          <w:p w14:paraId="34EB371D" w14:textId="77777777" w:rsidR="00A17C91" w:rsidRDefault="00A17C91" w:rsidP="00F96212"/>
        </w:tc>
        <w:tc>
          <w:tcPr>
            <w:tcW w:w="1250" w:type="pct"/>
          </w:tcPr>
          <w:p w14:paraId="3EAE286E" w14:textId="77777777" w:rsidR="00A17C91" w:rsidRDefault="00A17C91" w:rsidP="00F96212"/>
        </w:tc>
        <w:tc>
          <w:tcPr>
            <w:tcW w:w="1250" w:type="pct"/>
          </w:tcPr>
          <w:p w14:paraId="3A51D615" w14:textId="77777777" w:rsidR="00A17C91" w:rsidRDefault="00A17C91" w:rsidP="00F96212"/>
        </w:tc>
        <w:tc>
          <w:tcPr>
            <w:tcW w:w="1250" w:type="pct"/>
          </w:tcPr>
          <w:p w14:paraId="708EC076" w14:textId="77777777" w:rsidR="00A17C91" w:rsidRDefault="00A17C91" w:rsidP="00F96212"/>
        </w:tc>
      </w:tr>
      <w:tr w:rsidR="00A17C91" w14:paraId="615D4B0F" w14:textId="77777777" w:rsidTr="00A17C91">
        <w:tc>
          <w:tcPr>
            <w:tcW w:w="1250" w:type="pct"/>
          </w:tcPr>
          <w:p w14:paraId="5AD6F6CB" w14:textId="77777777" w:rsidR="00A17C91" w:rsidRDefault="00A17C91" w:rsidP="00F96212"/>
        </w:tc>
        <w:tc>
          <w:tcPr>
            <w:tcW w:w="1250" w:type="pct"/>
          </w:tcPr>
          <w:p w14:paraId="03C6C036" w14:textId="77777777" w:rsidR="00A17C91" w:rsidRDefault="00A17C91" w:rsidP="00F96212"/>
        </w:tc>
        <w:tc>
          <w:tcPr>
            <w:tcW w:w="1250" w:type="pct"/>
          </w:tcPr>
          <w:p w14:paraId="7AC891C2" w14:textId="77777777" w:rsidR="00A17C91" w:rsidRDefault="00A17C91" w:rsidP="00F96212"/>
        </w:tc>
        <w:tc>
          <w:tcPr>
            <w:tcW w:w="1250" w:type="pct"/>
          </w:tcPr>
          <w:p w14:paraId="7B8CBDE1" w14:textId="77777777" w:rsidR="00A17C91" w:rsidRDefault="00A17C91" w:rsidP="00F96212"/>
        </w:tc>
      </w:tr>
    </w:tbl>
    <w:p w14:paraId="13D86C0F" w14:textId="27FB774E" w:rsidR="0092444B" w:rsidRDefault="0092444B" w:rsidP="00F96212"/>
    <w:p w14:paraId="751CBC08" w14:textId="618E60BA" w:rsidR="00707854" w:rsidRDefault="00707854" w:rsidP="00707854">
      <w:pPr>
        <w:pStyle w:val="Heading2"/>
      </w:pPr>
      <w:r>
        <w:t>Reviewing the mitigation plan</w:t>
      </w:r>
    </w:p>
    <w:p w14:paraId="5CA204D0" w14:textId="77777777" w:rsidR="00707854" w:rsidRDefault="00707854" w:rsidP="00707854">
      <w:r>
        <w:t xml:space="preserve">Review dates should be set based on the risk mitigation category as follows: </w:t>
      </w:r>
    </w:p>
    <w:tbl>
      <w:tblPr>
        <w:tblStyle w:val="TableGrid"/>
        <w:tblW w:w="0" w:type="auto"/>
        <w:tblLook w:val="04A0" w:firstRow="1" w:lastRow="0" w:firstColumn="1" w:lastColumn="0" w:noHBand="0" w:noVBand="1"/>
      </w:tblPr>
      <w:tblGrid>
        <w:gridCol w:w="2830"/>
        <w:gridCol w:w="11118"/>
      </w:tblGrid>
      <w:tr w:rsidR="00707854" w14:paraId="09DEFA08" w14:textId="77777777" w:rsidTr="001C65FF">
        <w:tc>
          <w:tcPr>
            <w:tcW w:w="2830" w:type="dxa"/>
            <w:shd w:val="clear" w:color="auto" w:fill="FF8585"/>
          </w:tcPr>
          <w:p w14:paraId="4E9F7BF3" w14:textId="77777777" w:rsidR="00707854" w:rsidRDefault="00707854" w:rsidP="001C65FF">
            <w:r>
              <w:t>Shielding</w:t>
            </w:r>
          </w:p>
        </w:tc>
        <w:tc>
          <w:tcPr>
            <w:tcW w:w="11118" w:type="dxa"/>
          </w:tcPr>
          <w:p w14:paraId="5762F1B1" w14:textId="77777777" w:rsidR="00707854" w:rsidRDefault="00707854" w:rsidP="001C65FF">
            <w:r>
              <w:t>Reviewed according to government advice</w:t>
            </w:r>
          </w:p>
        </w:tc>
      </w:tr>
      <w:tr w:rsidR="00707854" w14:paraId="0CBDE02F" w14:textId="77777777" w:rsidTr="001C65FF">
        <w:tc>
          <w:tcPr>
            <w:tcW w:w="2830" w:type="dxa"/>
            <w:shd w:val="clear" w:color="auto" w:fill="F4B083" w:themeFill="accent2" w:themeFillTint="99"/>
          </w:tcPr>
          <w:p w14:paraId="4A2AB981" w14:textId="77777777" w:rsidR="00707854" w:rsidRDefault="00707854" w:rsidP="001C65FF">
            <w:r>
              <w:t>Precautionary approaches</w:t>
            </w:r>
          </w:p>
        </w:tc>
        <w:tc>
          <w:tcPr>
            <w:tcW w:w="11118" w:type="dxa"/>
          </w:tcPr>
          <w:p w14:paraId="641B7755" w14:textId="77777777" w:rsidR="00707854" w:rsidRDefault="00707854" w:rsidP="001C65FF">
            <w:r>
              <w:t>Reviewed after week 1 and then formally on a monthly basis to ensure measures are effective</w:t>
            </w:r>
          </w:p>
        </w:tc>
      </w:tr>
      <w:tr w:rsidR="00707854" w14:paraId="58EA8B7A" w14:textId="77777777" w:rsidTr="001C65FF">
        <w:tc>
          <w:tcPr>
            <w:tcW w:w="2830" w:type="dxa"/>
            <w:shd w:val="clear" w:color="auto" w:fill="FFE599" w:themeFill="accent4" w:themeFillTint="66"/>
          </w:tcPr>
          <w:p w14:paraId="6B4E188E" w14:textId="77777777" w:rsidR="00707854" w:rsidRDefault="00707854" w:rsidP="001C65FF">
            <w:r>
              <w:t>COVID-Secure approaches</w:t>
            </w:r>
          </w:p>
        </w:tc>
        <w:tc>
          <w:tcPr>
            <w:tcW w:w="11118" w:type="dxa"/>
          </w:tcPr>
          <w:p w14:paraId="2E10E33E" w14:textId="77777777" w:rsidR="00707854" w:rsidRDefault="00707854" w:rsidP="001C65FF">
            <w:r>
              <w:t>Reviewed informally at 1:1s and formally on a 3 month basis</w:t>
            </w:r>
          </w:p>
        </w:tc>
      </w:tr>
      <w:tr w:rsidR="00707854" w14:paraId="0A97816F" w14:textId="77777777" w:rsidTr="001C65FF">
        <w:tc>
          <w:tcPr>
            <w:tcW w:w="2830" w:type="dxa"/>
            <w:shd w:val="clear" w:color="auto" w:fill="FFF2CC" w:themeFill="accent4" w:themeFillTint="33"/>
          </w:tcPr>
          <w:p w14:paraId="38F5ABE0" w14:textId="77777777" w:rsidR="00707854" w:rsidRDefault="00707854" w:rsidP="001C65FF">
            <w:r>
              <w:t>Flexible approaches</w:t>
            </w:r>
          </w:p>
        </w:tc>
        <w:tc>
          <w:tcPr>
            <w:tcW w:w="11118" w:type="dxa"/>
          </w:tcPr>
          <w:p w14:paraId="43CF8113" w14:textId="77777777" w:rsidR="00707854" w:rsidRDefault="00707854" w:rsidP="001C65FF">
            <w:r>
              <w:t>Reviewed informally at 1:1s and then formally on a 3 month basis</w:t>
            </w:r>
          </w:p>
        </w:tc>
      </w:tr>
    </w:tbl>
    <w:p w14:paraId="714D3665" w14:textId="77777777" w:rsidR="00707854" w:rsidRPr="00F96212" w:rsidRDefault="00707854" w:rsidP="00707854"/>
    <w:p w14:paraId="6554C4F0" w14:textId="77777777" w:rsidR="00707854" w:rsidRDefault="00707854" w:rsidP="00CE504D">
      <w:pPr>
        <w:rPr>
          <w:b/>
        </w:rPr>
      </w:pPr>
      <w:r w:rsidRPr="00707854">
        <w:rPr>
          <w:b/>
        </w:rPr>
        <w:t>Initial</w:t>
      </w:r>
      <w:r>
        <w:t xml:space="preserve"> </w:t>
      </w:r>
      <w:r w:rsidR="00CE504D" w:rsidRPr="00A17C91">
        <w:rPr>
          <w:b/>
        </w:rPr>
        <w:t>Review date:</w:t>
      </w:r>
    </w:p>
    <w:p w14:paraId="3650F31D" w14:textId="6C9840D1" w:rsidR="00CE504D" w:rsidRPr="00A17C91" w:rsidRDefault="00707854" w:rsidP="00CE504D">
      <w:pPr>
        <w:rPr>
          <w:b/>
        </w:rPr>
      </w:pPr>
      <w:r>
        <w:rPr>
          <w:b/>
        </w:rPr>
        <w:t>Review pattern:</w:t>
      </w:r>
      <w:r w:rsidR="00CE504D" w:rsidRPr="00A17C91">
        <w:rPr>
          <w:b/>
        </w:rPr>
        <w:t xml:space="preserve"> </w:t>
      </w:r>
    </w:p>
    <w:p w14:paraId="02C604D0" w14:textId="77777777" w:rsidR="00CE504D" w:rsidRDefault="00CE504D" w:rsidP="00F96212"/>
    <w:sectPr w:rsidR="00CE504D" w:rsidSect="00F96212">
      <w:pgSz w:w="16838" w:h="11906" w:orient="landscape"/>
      <w:pgMar w:top="1080" w:right="1440" w:bottom="108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A35A510" w16cid:durableId="22A9C526"/>
  <w16cid:commentId w16cid:paraId="78E8A8F5" w16cid:durableId="22A9C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B60B" w14:textId="77777777" w:rsidR="00026A28" w:rsidRDefault="00026A28" w:rsidP="00964B4D">
      <w:pPr>
        <w:spacing w:after="0" w:line="240" w:lineRule="auto"/>
      </w:pPr>
      <w:r>
        <w:separator/>
      </w:r>
    </w:p>
  </w:endnote>
  <w:endnote w:type="continuationSeparator" w:id="0">
    <w:p w14:paraId="4AFDD896" w14:textId="77777777" w:rsidR="00026A28" w:rsidRDefault="00026A28" w:rsidP="009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E0E4" w14:textId="77777777" w:rsidR="00026A28" w:rsidRDefault="00026A28" w:rsidP="00964B4D">
      <w:pPr>
        <w:spacing w:after="0" w:line="240" w:lineRule="auto"/>
      </w:pPr>
      <w:r>
        <w:separator/>
      </w:r>
    </w:p>
  </w:footnote>
  <w:footnote w:type="continuationSeparator" w:id="0">
    <w:p w14:paraId="743455F1" w14:textId="77777777" w:rsidR="00026A28" w:rsidRDefault="00026A28" w:rsidP="0096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66559"/>
    <w:multiLevelType w:val="hybridMultilevel"/>
    <w:tmpl w:val="C3D2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5329E"/>
    <w:multiLevelType w:val="hybridMultilevel"/>
    <w:tmpl w:val="13FE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4D"/>
    <w:rsid w:val="00026A28"/>
    <w:rsid w:val="000556FA"/>
    <w:rsid w:val="000B7138"/>
    <w:rsid w:val="00150B51"/>
    <w:rsid w:val="00181E9E"/>
    <w:rsid w:val="001C7B3D"/>
    <w:rsid w:val="001D2BD6"/>
    <w:rsid w:val="002753C9"/>
    <w:rsid w:val="0030259D"/>
    <w:rsid w:val="00324A02"/>
    <w:rsid w:val="00367495"/>
    <w:rsid w:val="004067DD"/>
    <w:rsid w:val="004B55BF"/>
    <w:rsid w:val="004D18AB"/>
    <w:rsid w:val="005159B6"/>
    <w:rsid w:val="005441E1"/>
    <w:rsid w:val="0057641A"/>
    <w:rsid w:val="0058605D"/>
    <w:rsid w:val="005908F0"/>
    <w:rsid w:val="005E6FC7"/>
    <w:rsid w:val="006D2CCE"/>
    <w:rsid w:val="00707854"/>
    <w:rsid w:val="00710F19"/>
    <w:rsid w:val="007207AE"/>
    <w:rsid w:val="00781200"/>
    <w:rsid w:val="00843BD2"/>
    <w:rsid w:val="008C14AA"/>
    <w:rsid w:val="008F4869"/>
    <w:rsid w:val="0092444B"/>
    <w:rsid w:val="00961726"/>
    <w:rsid w:val="00964B4D"/>
    <w:rsid w:val="00A17C91"/>
    <w:rsid w:val="00AE7B9C"/>
    <w:rsid w:val="00AF0376"/>
    <w:rsid w:val="00B22B83"/>
    <w:rsid w:val="00B946F4"/>
    <w:rsid w:val="00C13FA9"/>
    <w:rsid w:val="00CE504D"/>
    <w:rsid w:val="00D3609E"/>
    <w:rsid w:val="00DB3894"/>
    <w:rsid w:val="00DD1C5B"/>
    <w:rsid w:val="00E266FF"/>
    <w:rsid w:val="00E44672"/>
    <w:rsid w:val="00E4490E"/>
    <w:rsid w:val="00EA4371"/>
    <w:rsid w:val="00F96212"/>
    <w:rsid w:val="0C034499"/>
    <w:rsid w:val="0D86B3A6"/>
    <w:rsid w:val="0D8AA8F0"/>
    <w:rsid w:val="149F7347"/>
    <w:rsid w:val="174CB872"/>
    <w:rsid w:val="1E18E0DA"/>
    <w:rsid w:val="2FAE3FD7"/>
    <w:rsid w:val="37B0F8ED"/>
    <w:rsid w:val="3E7EDB0C"/>
    <w:rsid w:val="4824EB50"/>
    <w:rsid w:val="5DC4668C"/>
    <w:rsid w:val="67A4A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C516"/>
  <w15:chartTrackingRefBased/>
  <w15:docId w15:val="{E37B786A-4D5B-40CE-94F5-2243EDF8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4D"/>
  </w:style>
  <w:style w:type="paragraph" w:styleId="Footer">
    <w:name w:val="footer"/>
    <w:basedOn w:val="Normal"/>
    <w:link w:val="FooterChar"/>
    <w:uiPriority w:val="99"/>
    <w:unhideWhenUsed/>
    <w:rsid w:val="00964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4D"/>
  </w:style>
  <w:style w:type="character" w:styleId="CommentReference">
    <w:name w:val="annotation reference"/>
    <w:basedOn w:val="DefaultParagraphFont"/>
    <w:uiPriority w:val="99"/>
    <w:semiHidden/>
    <w:unhideWhenUsed/>
    <w:rsid w:val="00964B4D"/>
    <w:rPr>
      <w:sz w:val="16"/>
      <w:szCs w:val="16"/>
    </w:rPr>
  </w:style>
  <w:style w:type="paragraph" w:styleId="CommentText">
    <w:name w:val="annotation text"/>
    <w:basedOn w:val="Normal"/>
    <w:link w:val="CommentTextChar"/>
    <w:uiPriority w:val="99"/>
    <w:semiHidden/>
    <w:unhideWhenUsed/>
    <w:rsid w:val="00964B4D"/>
    <w:pPr>
      <w:spacing w:line="240" w:lineRule="auto"/>
    </w:pPr>
    <w:rPr>
      <w:sz w:val="20"/>
      <w:szCs w:val="20"/>
    </w:rPr>
  </w:style>
  <w:style w:type="character" w:customStyle="1" w:styleId="CommentTextChar">
    <w:name w:val="Comment Text Char"/>
    <w:basedOn w:val="DefaultParagraphFont"/>
    <w:link w:val="CommentText"/>
    <w:uiPriority w:val="99"/>
    <w:semiHidden/>
    <w:rsid w:val="00964B4D"/>
    <w:rPr>
      <w:sz w:val="20"/>
      <w:szCs w:val="20"/>
    </w:rPr>
  </w:style>
  <w:style w:type="paragraph" w:styleId="CommentSubject">
    <w:name w:val="annotation subject"/>
    <w:basedOn w:val="CommentText"/>
    <w:next w:val="CommentText"/>
    <w:link w:val="CommentSubjectChar"/>
    <w:uiPriority w:val="99"/>
    <w:semiHidden/>
    <w:unhideWhenUsed/>
    <w:rsid w:val="00964B4D"/>
    <w:rPr>
      <w:b/>
      <w:bCs/>
    </w:rPr>
  </w:style>
  <w:style w:type="character" w:customStyle="1" w:styleId="CommentSubjectChar">
    <w:name w:val="Comment Subject Char"/>
    <w:basedOn w:val="CommentTextChar"/>
    <w:link w:val="CommentSubject"/>
    <w:uiPriority w:val="99"/>
    <w:semiHidden/>
    <w:rsid w:val="00964B4D"/>
    <w:rPr>
      <w:b/>
      <w:bCs/>
      <w:sz w:val="20"/>
      <w:szCs w:val="20"/>
    </w:rPr>
  </w:style>
  <w:style w:type="paragraph" w:styleId="BalloonText">
    <w:name w:val="Balloon Text"/>
    <w:basedOn w:val="Normal"/>
    <w:link w:val="BalloonTextChar"/>
    <w:uiPriority w:val="99"/>
    <w:semiHidden/>
    <w:unhideWhenUsed/>
    <w:rsid w:val="0096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4D"/>
    <w:rPr>
      <w:rFonts w:ascii="Segoe UI" w:hAnsi="Segoe UI" w:cs="Segoe UI"/>
      <w:sz w:val="18"/>
      <w:szCs w:val="18"/>
    </w:rPr>
  </w:style>
  <w:style w:type="paragraph" w:styleId="Revision">
    <w:name w:val="Revision"/>
    <w:hidden/>
    <w:uiPriority w:val="99"/>
    <w:semiHidden/>
    <w:rsid w:val="00964B4D"/>
    <w:pPr>
      <w:spacing w:after="0" w:line="240" w:lineRule="auto"/>
    </w:pPr>
  </w:style>
  <w:style w:type="paragraph" w:styleId="Title">
    <w:name w:val="Title"/>
    <w:basedOn w:val="Normal"/>
    <w:next w:val="Normal"/>
    <w:link w:val="TitleChar"/>
    <w:uiPriority w:val="10"/>
    <w:qFormat/>
    <w:rsid w:val="00C13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F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FA9"/>
    <w:rPr>
      <w:color w:val="0563C1" w:themeColor="hyperlink"/>
      <w:u w:val="single"/>
    </w:rPr>
  </w:style>
  <w:style w:type="character" w:customStyle="1" w:styleId="Heading1Char">
    <w:name w:val="Heading 1 Char"/>
    <w:basedOn w:val="DefaultParagraphFont"/>
    <w:link w:val="Heading1"/>
    <w:uiPriority w:val="9"/>
    <w:rsid w:val="00C13FA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1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3FA9"/>
    <w:rPr>
      <w:color w:val="954F72" w:themeColor="followedHyperlink"/>
      <w:u w:val="single"/>
    </w:rPr>
  </w:style>
  <w:style w:type="paragraph" w:styleId="ListParagraph">
    <w:name w:val="List Paragraph"/>
    <w:basedOn w:val="Normal"/>
    <w:uiPriority w:val="34"/>
    <w:qFormat/>
    <w:rsid w:val="008F4869"/>
    <w:pPr>
      <w:ind w:left="720"/>
      <w:contextualSpacing/>
    </w:pPr>
  </w:style>
  <w:style w:type="character" w:customStyle="1" w:styleId="Heading2Char">
    <w:name w:val="Heading 2 Char"/>
    <w:basedOn w:val="DefaultParagraphFont"/>
    <w:link w:val="Heading2"/>
    <w:uiPriority w:val="9"/>
    <w:rsid w:val="00CE50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9748">
      <w:bodyDiv w:val="1"/>
      <w:marLeft w:val="0"/>
      <w:marRight w:val="0"/>
      <w:marTop w:val="0"/>
      <w:marBottom w:val="0"/>
      <w:divBdr>
        <w:top w:val="none" w:sz="0" w:space="0" w:color="auto"/>
        <w:left w:val="none" w:sz="0" w:space="0" w:color="auto"/>
        <w:bottom w:val="none" w:sz="0" w:space="0" w:color="auto"/>
        <w:right w:val="none" w:sz="0" w:space="0" w:color="auto"/>
      </w:divBdr>
      <w:divsChild>
        <w:div w:id="1172796093">
          <w:marLeft w:val="240"/>
          <w:marRight w:val="240"/>
          <w:marTop w:val="0"/>
          <w:marBottom w:val="0"/>
          <w:divBdr>
            <w:top w:val="none" w:sz="0" w:space="0" w:color="auto"/>
            <w:left w:val="none" w:sz="0" w:space="0" w:color="auto"/>
            <w:bottom w:val="none" w:sz="0" w:space="0" w:color="auto"/>
            <w:right w:val="none" w:sz="0" w:space="0" w:color="auto"/>
          </w:divBdr>
          <w:divsChild>
            <w:div w:id="1136263880">
              <w:marLeft w:val="-240"/>
              <w:marRight w:val="-240"/>
              <w:marTop w:val="0"/>
              <w:marBottom w:val="0"/>
              <w:divBdr>
                <w:top w:val="none" w:sz="0" w:space="0" w:color="auto"/>
                <w:left w:val="none" w:sz="0" w:space="0" w:color="auto"/>
                <w:bottom w:val="none" w:sz="0" w:space="0" w:color="auto"/>
                <w:right w:val="none" w:sz="0" w:space="0" w:color="auto"/>
              </w:divBdr>
              <w:divsChild>
                <w:div w:id="11690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uwe.ac.uk"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uwe.ac.uk/tasks-guides/Guide/coronavirus-ad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conditions/coronavirus-covid-19/people-at-higher-risk-from-coronavirus/whos-at-higher-risk-from-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8" ma:contentTypeDescription="Create a new document." ma:contentTypeScope="" ma:versionID="ce6cba7bfa83d82c30240abfb192afc2">
  <xsd:schema xmlns:xsd="http://www.w3.org/2001/XMLSchema" xmlns:xs="http://www.w3.org/2001/XMLSchema" xmlns:p="http://schemas.microsoft.com/office/2006/metadata/properties" xmlns:ns3="a6b74a24-0929-4331-b68d-6dc2f138fc9f" xmlns:ns4="83464fbe-6045-496c-aadd-77a7be186b3d" targetNamespace="http://schemas.microsoft.com/office/2006/metadata/properties" ma:root="true" ma:fieldsID="a4e23c0f5d25a96586f55df981006e8b" ns3:_="" ns4:_="">
    <xsd:import namespace="a6b74a24-0929-4331-b68d-6dc2f138fc9f"/>
    <xsd:import namespace="83464fbe-6045-496c-aadd-77a7be186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4061C-BE9C-4917-86C4-4B8CC1816B22}">
  <ds:schemaRefs>
    <ds:schemaRef ds:uri="http://schemas.microsoft.com/sharepoint/v3/contenttype/forms"/>
  </ds:schemaRefs>
</ds:datastoreItem>
</file>

<file path=customXml/itemProps2.xml><?xml version="1.0" encoding="utf-8"?>
<ds:datastoreItem xmlns:ds="http://schemas.openxmlformats.org/officeDocument/2006/customXml" ds:itemID="{ADA862D2-EC58-4A0A-BC0C-D012D11F8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4a24-0929-4331-b68d-6dc2f138fc9f"/>
    <ds:schemaRef ds:uri="83464fbe-6045-496c-aadd-77a7be18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EDACE-C53C-47F9-89B1-A1AC072D953F}">
  <ds:schemaRefs>
    <ds:schemaRef ds:uri="http://schemas.microsoft.com/office/infopath/2007/PartnerControls"/>
    <ds:schemaRef ds:uri="a6b74a24-0929-4331-b68d-6dc2f138fc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464fbe-6045-496c-aadd-77a7be186b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Carrie</dc:creator>
  <cp:keywords/>
  <dc:description/>
  <cp:lastModifiedBy>Lizzie Johnson</cp:lastModifiedBy>
  <cp:revision>2</cp:revision>
  <dcterms:created xsi:type="dcterms:W3CDTF">2020-07-07T15:32:00Z</dcterms:created>
  <dcterms:modified xsi:type="dcterms:W3CDTF">2020-07-07T15:32:00Z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0x01010036E87131C6E01149B92C08BDE3DAD285</vt:lpwstr>
  </property>
</Properties>
</file>