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EA14" w14:textId="77777777" w:rsidR="003360CE" w:rsidRDefault="00D24C56" w:rsidP="00D24C56">
      <w:pPr>
        <w:spacing w:after="0"/>
      </w:pPr>
      <w:bookmarkStart w:id="0" w:name="_GoBack"/>
      <w:bookmarkEnd w:id="0"/>
      <w:r>
        <w:rPr>
          <w:noProof/>
        </w:rPr>
        <w:drawing>
          <wp:inline distT="0" distB="0" distL="0" distR="0" wp14:anchorId="678018FD" wp14:editId="384B892A">
            <wp:extent cx="1924761" cy="742950"/>
            <wp:effectExtent l="19050" t="0" r="0" b="0"/>
            <wp:docPr id="1" name="Picture 0" descr="UW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 colour.jpg"/>
                    <pic:cNvPicPr/>
                  </pic:nvPicPr>
                  <pic:blipFill>
                    <a:blip r:embed="rId7" cstate="print"/>
                    <a:stretch>
                      <a:fillRect/>
                    </a:stretch>
                  </pic:blipFill>
                  <pic:spPr>
                    <a:xfrm>
                      <a:off x="0" y="0"/>
                      <a:ext cx="1926973" cy="743804"/>
                    </a:xfrm>
                    <a:prstGeom prst="rect">
                      <a:avLst/>
                    </a:prstGeom>
                  </pic:spPr>
                </pic:pic>
              </a:graphicData>
            </a:graphic>
          </wp:inline>
        </w:drawing>
      </w:r>
    </w:p>
    <w:p w14:paraId="4BB0CCF1" w14:textId="77777777" w:rsidR="00D24C56" w:rsidRPr="00D24C56" w:rsidRDefault="00D24C56">
      <w:pPr>
        <w:rPr>
          <w:color w:val="FF0000"/>
          <w:sz w:val="44"/>
        </w:rPr>
      </w:pPr>
      <w:r w:rsidRPr="00D24C56">
        <w:rPr>
          <w:color w:val="FF0000"/>
          <w:sz w:val="44"/>
        </w:rPr>
        <w:t>Graduate School</w:t>
      </w:r>
    </w:p>
    <w:p w14:paraId="58B324EC" w14:textId="77777777" w:rsidR="00D24C56" w:rsidRDefault="00D24C56">
      <w:pPr>
        <w:rPr>
          <w:color w:val="FF0000"/>
          <w:sz w:val="40"/>
        </w:rPr>
      </w:pPr>
    </w:p>
    <w:p w14:paraId="6B9C56BC" w14:textId="77777777" w:rsidR="00D24C56" w:rsidRDefault="00D24C56">
      <w:pPr>
        <w:rPr>
          <w:color w:val="FF0000"/>
          <w:sz w:val="40"/>
        </w:rPr>
      </w:pPr>
    </w:p>
    <w:p w14:paraId="67B864CD" w14:textId="77777777" w:rsidR="00D24C56" w:rsidRPr="00D24C56" w:rsidRDefault="00D24C56" w:rsidP="00D24C56">
      <w:pPr>
        <w:jc w:val="center"/>
        <w:rPr>
          <w:sz w:val="56"/>
        </w:rPr>
      </w:pPr>
      <w:r w:rsidRPr="00D24C56">
        <w:rPr>
          <w:sz w:val="56"/>
        </w:rPr>
        <w:t>Research In Contemporary Context</w:t>
      </w:r>
    </w:p>
    <w:p w14:paraId="28000C14" w14:textId="5C61D126" w:rsidR="00D24C56" w:rsidRPr="00932938" w:rsidRDefault="00D24C56" w:rsidP="00173A59">
      <w:pPr>
        <w:jc w:val="center"/>
        <w:rPr>
          <w:i/>
          <w:sz w:val="40"/>
        </w:rPr>
      </w:pPr>
      <w:r w:rsidRPr="00D24C56">
        <w:rPr>
          <w:sz w:val="40"/>
        </w:rPr>
        <w:t>Module Booklet</w:t>
      </w:r>
      <w:r w:rsidR="00C166C2">
        <w:rPr>
          <w:sz w:val="40"/>
        </w:rPr>
        <w:t xml:space="preserve"> – Oct 2017</w:t>
      </w:r>
      <w:r w:rsidR="0065631E">
        <w:rPr>
          <w:sz w:val="40"/>
        </w:rPr>
        <w:t xml:space="preserve"> start</w:t>
      </w:r>
      <w:r w:rsidR="00C166C2">
        <w:rPr>
          <w:sz w:val="40"/>
        </w:rPr>
        <w:t>ers</w:t>
      </w:r>
    </w:p>
    <w:p w14:paraId="24DC1B8E" w14:textId="77777777" w:rsidR="00D24C56" w:rsidRDefault="00DB66C5" w:rsidP="00B03614">
      <w:pPr>
        <w:jc w:val="center"/>
        <w:rPr>
          <w:sz w:val="40"/>
        </w:rPr>
      </w:pPr>
      <w:r>
        <w:rPr>
          <w:sz w:val="40"/>
        </w:rPr>
        <w:t>USSJLK</w:t>
      </w:r>
      <w:r w:rsidR="00B03614">
        <w:rPr>
          <w:sz w:val="40"/>
        </w:rPr>
        <w:t>-30-M</w:t>
      </w:r>
    </w:p>
    <w:p w14:paraId="2B19EA95" w14:textId="77777777" w:rsidR="008B53CA" w:rsidRPr="008B53CA" w:rsidRDefault="008B53CA" w:rsidP="00B03614">
      <w:pPr>
        <w:jc w:val="center"/>
        <w:rPr>
          <w:i/>
          <w:sz w:val="40"/>
        </w:rPr>
      </w:pPr>
      <w:r w:rsidRPr="008B53CA">
        <w:rPr>
          <w:i/>
          <w:sz w:val="40"/>
        </w:rPr>
        <w:t>30 credits</w:t>
      </w:r>
    </w:p>
    <w:p w14:paraId="1C49215C" w14:textId="77777777" w:rsidR="00D24C56" w:rsidRDefault="00D24C56" w:rsidP="00D24C56">
      <w:pPr>
        <w:jc w:val="center"/>
        <w:rPr>
          <w:sz w:val="40"/>
        </w:rPr>
      </w:pPr>
      <w:r>
        <w:rPr>
          <w:sz w:val="40"/>
        </w:rPr>
        <w:t>Module Leader: Neil Willey</w:t>
      </w:r>
    </w:p>
    <w:p w14:paraId="3C9187FC" w14:textId="77777777" w:rsidR="00D24C56" w:rsidRPr="00D24C56" w:rsidRDefault="00D24C56" w:rsidP="00D24C56">
      <w:pPr>
        <w:rPr>
          <w:b/>
          <w:sz w:val="40"/>
        </w:rPr>
      </w:pPr>
      <w:r>
        <w:rPr>
          <w:sz w:val="40"/>
        </w:rPr>
        <w:br w:type="page"/>
      </w:r>
      <w:r w:rsidRPr="00D24C56">
        <w:rPr>
          <w:b/>
          <w:sz w:val="28"/>
          <w:szCs w:val="24"/>
        </w:rPr>
        <w:lastRenderedPageBreak/>
        <w:t>Introduction</w:t>
      </w:r>
    </w:p>
    <w:p w14:paraId="361AA5EA" w14:textId="79506639" w:rsidR="00D24C56" w:rsidRDefault="00D24C56" w:rsidP="00D24C56">
      <w:pPr>
        <w:pStyle w:val="indent2"/>
        <w:tabs>
          <w:tab w:val="clear" w:pos="0"/>
          <w:tab w:val="clear" w:pos="720"/>
        </w:tabs>
        <w:spacing w:after="120"/>
        <w:jc w:val="both"/>
        <w:rPr>
          <w:rFonts w:asciiTheme="minorHAnsi" w:hAnsiTheme="minorHAnsi" w:cstheme="minorHAnsi"/>
          <w:szCs w:val="24"/>
        </w:rPr>
      </w:pPr>
      <w:r>
        <w:rPr>
          <w:rFonts w:asciiTheme="minorHAnsi" w:hAnsiTheme="minorHAnsi" w:cstheme="minorHAnsi"/>
          <w:szCs w:val="24"/>
        </w:rPr>
        <w:t>In the UK</w:t>
      </w:r>
      <w:r w:rsidR="001E5FB1">
        <w:rPr>
          <w:rFonts w:asciiTheme="minorHAnsi" w:hAnsiTheme="minorHAnsi" w:cstheme="minorHAnsi"/>
          <w:szCs w:val="24"/>
        </w:rPr>
        <w:t>,</w:t>
      </w:r>
      <w:r>
        <w:rPr>
          <w:rFonts w:asciiTheme="minorHAnsi" w:hAnsiTheme="minorHAnsi" w:cstheme="minorHAnsi"/>
          <w:szCs w:val="24"/>
        </w:rPr>
        <w:t xml:space="preserve"> until relatively recently research degrees consisted solely of a piece of research. This contrasted with research</w:t>
      </w:r>
      <w:r w:rsidR="001E5FB1">
        <w:rPr>
          <w:rFonts w:asciiTheme="minorHAnsi" w:hAnsiTheme="minorHAnsi" w:cstheme="minorHAnsi"/>
          <w:szCs w:val="24"/>
        </w:rPr>
        <w:t xml:space="preserve"> degree provision in many</w:t>
      </w:r>
      <w:r>
        <w:rPr>
          <w:rFonts w:asciiTheme="minorHAnsi" w:hAnsiTheme="minorHAnsi" w:cstheme="minorHAnsi"/>
          <w:szCs w:val="24"/>
        </w:rPr>
        <w:t xml:space="preserve"> other parts of the world. It also meant that the transition to research degrees from undergraduate was so abrupt that</w:t>
      </w:r>
      <w:r w:rsidR="00C166C2">
        <w:rPr>
          <w:rFonts w:asciiTheme="minorHAnsi" w:hAnsiTheme="minorHAnsi" w:cstheme="minorHAnsi"/>
          <w:szCs w:val="24"/>
        </w:rPr>
        <w:t>, even though a Masters was seldom a prerequisite,</w:t>
      </w:r>
      <w:r>
        <w:rPr>
          <w:rFonts w:asciiTheme="minorHAnsi" w:hAnsiTheme="minorHAnsi" w:cstheme="minorHAnsi"/>
          <w:szCs w:val="24"/>
        </w:rPr>
        <w:t xml:space="preserve"> in many disciplines recruitment occurred almost entirely from those ho</w:t>
      </w:r>
      <w:r w:rsidR="00862D50">
        <w:rPr>
          <w:rFonts w:asciiTheme="minorHAnsi" w:hAnsiTheme="minorHAnsi" w:cstheme="minorHAnsi"/>
          <w:szCs w:val="24"/>
        </w:rPr>
        <w:t>lding Masters degrees</w:t>
      </w:r>
      <w:r>
        <w:rPr>
          <w:rFonts w:asciiTheme="minorHAnsi" w:hAnsiTheme="minorHAnsi" w:cstheme="minorHAnsi"/>
          <w:szCs w:val="24"/>
        </w:rPr>
        <w:t>. Towards the end of the 20</w:t>
      </w:r>
      <w:r w:rsidRPr="00D24C56">
        <w:rPr>
          <w:rFonts w:asciiTheme="minorHAnsi" w:hAnsiTheme="minorHAnsi" w:cstheme="minorHAnsi"/>
          <w:szCs w:val="24"/>
          <w:vertAlign w:val="superscript"/>
        </w:rPr>
        <w:t>th</w:t>
      </w:r>
      <w:r>
        <w:rPr>
          <w:rFonts w:asciiTheme="minorHAnsi" w:hAnsiTheme="minorHAnsi" w:cstheme="minorHAnsi"/>
          <w:szCs w:val="24"/>
        </w:rPr>
        <w:t xml:space="preserve"> C UK research degrees had low completion rates and numerous studies showed that in the</w:t>
      </w:r>
      <w:r w:rsidR="00F50305">
        <w:rPr>
          <w:rFonts w:asciiTheme="minorHAnsi" w:hAnsiTheme="minorHAnsi" w:cstheme="minorHAnsi"/>
          <w:szCs w:val="24"/>
        </w:rPr>
        <w:t xml:space="preserve"> years after graduation postgraduate researchers</w:t>
      </w:r>
      <w:r>
        <w:rPr>
          <w:rFonts w:asciiTheme="minorHAnsi" w:hAnsiTheme="minorHAnsi" w:cstheme="minorHAnsi"/>
          <w:szCs w:val="24"/>
        </w:rPr>
        <w:t xml:space="preserve"> were unsure what they had gained from their research degree. It was concluded that personal, professional and career developm</w:t>
      </w:r>
      <w:r w:rsidR="00F50305">
        <w:rPr>
          <w:rFonts w:asciiTheme="minorHAnsi" w:hAnsiTheme="minorHAnsi" w:cstheme="minorHAnsi"/>
          <w:szCs w:val="24"/>
        </w:rPr>
        <w:t>ent for postgraduate researchers</w:t>
      </w:r>
      <w:r>
        <w:rPr>
          <w:rFonts w:asciiTheme="minorHAnsi" w:hAnsiTheme="minorHAnsi" w:cstheme="minorHAnsi"/>
          <w:szCs w:val="24"/>
        </w:rPr>
        <w:t xml:space="preserve"> should be taken much more seriously. The Robert’s review of Science, Technology, Engineering &amp; Mathematical subjects (2004) included a cha</w:t>
      </w:r>
      <w:r w:rsidR="001E5FB1">
        <w:rPr>
          <w:rFonts w:asciiTheme="minorHAnsi" w:hAnsiTheme="minorHAnsi" w:cstheme="minorHAnsi"/>
          <w:szCs w:val="24"/>
        </w:rPr>
        <w:t>pter on postgraduate degrees that focussed</w:t>
      </w:r>
      <w:r>
        <w:rPr>
          <w:rFonts w:asciiTheme="minorHAnsi" w:hAnsiTheme="minorHAnsi" w:cstheme="minorHAnsi"/>
          <w:szCs w:val="24"/>
        </w:rPr>
        <w:t xml:space="preserve"> on PhDs</w:t>
      </w:r>
      <w:r w:rsidR="001E5FB1">
        <w:rPr>
          <w:rFonts w:asciiTheme="minorHAnsi" w:hAnsiTheme="minorHAnsi" w:cstheme="minorHAnsi"/>
          <w:szCs w:val="24"/>
        </w:rPr>
        <w:t>,</w:t>
      </w:r>
      <w:r>
        <w:rPr>
          <w:rFonts w:asciiTheme="minorHAnsi" w:hAnsiTheme="minorHAnsi" w:cstheme="minorHAnsi"/>
          <w:szCs w:val="24"/>
        </w:rPr>
        <w:t xml:space="preserve"> and essentially concluded that they did not provide the skills employers expected. The </w:t>
      </w:r>
      <w:hyperlink r:id="rId8" w:history="1">
        <w:r w:rsidRPr="00D24C56">
          <w:rPr>
            <w:rStyle w:val="Hyperlink"/>
            <w:rFonts w:asciiTheme="minorHAnsi" w:hAnsiTheme="minorHAnsi" w:cstheme="minorHAnsi"/>
            <w:szCs w:val="24"/>
          </w:rPr>
          <w:t>Robert’s review</w:t>
        </w:r>
      </w:hyperlink>
      <w:r>
        <w:rPr>
          <w:rFonts w:asciiTheme="minorHAnsi" w:hAnsiTheme="minorHAnsi" w:cstheme="minorHAnsi"/>
          <w:szCs w:val="24"/>
        </w:rPr>
        <w:t xml:space="preserve"> proved very influential</w:t>
      </w:r>
      <w:r w:rsidR="001E5FB1">
        <w:rPr>
          <w:rFonts w:asciiTheme="minorHAnsi" w:hAnsiTheme="minorHAnsi" w:cstheme="minorHAnsi"/>
          <w:szCs w:val="24"/>
        </w:rPr>
        <w:t>,</w:t>
      </w:r>
      <w:r>
        <w:rPr>
          <w:rFonts w:asciiTheme="minorHAnsi" w:hAnsiTheme="minorHAnsi" w:cstheme="minorHAnsi"/>
          <w:szCs w:val="24"/>
        </w:rPr>
        <w:t xml:space="preserve"> so its focus on STEM and employers’ demands is si</w:t>
      </w:r>
      <w:r w:rsidR="00862D50">
        <w:rPr>
          <w:rFonts w:asciiTheme="minorHAnsi" w:hAnsiTheme="minorHAnsi" w:cstheme="minorHAnsi"/>
          <w:szCs w:val="24"/>
        </w:rPr>
        <w:t>gnificant. There are still occa</w:t>
      </w:r>
      <w:r>
        <w:rPr>
          <w:rFonts w:asciiTheme="minorHAnsi" w:hAnsiTheme="minorHAnsi" w:cstheme="minorHAnsi"/>
          <w:szCs w:val="24"/>
        </w:rPr>
        <w:t>sional rumblings</w:t>
      </w:r>
      <w:r w:rsidR="001E5FB1">
        <w:rPr>
          <w:rFonts w:asciiTheme="minorHAnsi" w:hAnsiTheme="minorHAnsi" w:cstheme="minorHAnsi"/>
          <w:szCs w:val="24"/>
        </w:rPr>
        <w:t>,</w:t>
      </w:r>
      <w:r w:rsidR="00C166C2">
        <w:rPr>
          <w:rFonts w:asciiTheme="minorHAnsi" w:hAnsiTheme="minorHAnsi" w:cstheme="minorHAnsi"/>
          <w:szCs w:val="24"/>
        </w:rPr>
        <w:t xml:space="preserve"> that</w:t>
      </w:r>
      <w:r>
        <w:rPr>
          <w:rFonts w:asciiTheme="minorHAnsi" w:hAnsiTheme="minorHAnsi" w:cstheme="minorHAnsi"/>
          <w:szCs w:val="24"/>
        </w:rPr>
        <w:t xml:space="preserve"> can be traced to the Roberts review</w:t>
      </w:r>
      <w:r w:rsidR="001E5FB1">
        <w:rPr>
          <w:rFonts w:asciiTheme="minorHAnsi" w:hAnsiTheme="minorHAnsi" w:cstheme="minorHAnsi"/>
          <w:szCs w:val="24"/>
        </w:rPr>
        <w:t xml:space="preserve">, that the </w:t>
      </w:r>
      <w:r>
        <w:rPr>
          <w:rFonts w:asciiTheme="minorHAnsi" w:hAnsiTheme="minorHAnsi" w:cstheme="minorHAnsi"/>
          <w:szCs w:val="24"/>
        </w:rPr>
        <w:t xml:space="preserve">UK research degree </w:t>
      </w:r>
      <w:r w:rsidR="001E5FB1">
        <w:rPr>
          <w:rFonts w:asciiTheme="minorHAnsi" w:hAnsiTheme="minorHAnsi" w:cstheme="minorHAnsi"/>
          <w:szCs w:val="24"/>
        </w:rPr>
        <w:t>does not equip graduates very well for work other than research.</w:t>
      </w:r>
    </w:p>
    <w:p w14:paraId="375BD3E8" w14:textId="7F445BED" w:rsidR="00D24C56" w:rsidRDefault="00F50305" w:rsidP="00D24C56">
      <w:pPr>
        <w:pStyle w:val="indent2"/>
        <w:tabs>
          <w:tab w:val="clear" w:pos="0"/>
          <w:tab w:val="clear" w:pos="720"/>
        </w:tabs>
        <w:spacing w:after="120"/>
        <w:jc w:val="both"/>
        <w:rPr>
          <w:rFonts w:asciiTheme="minorHAnsi" w:hAnsiTheme="minorHAnsi" w:cstheme="minorHAnsi"/>
          <w:szCs w:val="24"/>
        </w:rPr>
      </w:pPr>
      <w:r>
        <w:rPr>
          <w:rFonts w:asciiTheme="minorHAnsi" w:hAnsiTheme="minorHAnsi" w:cstheme="minorHAnsi"/>
          <w:szCs w:val="24"/>
        </w:rPr>
        <w:t>Postgraduate researchers</w:t>
      </w:r>
      <w:r w:rsidR="00D24C56">
        <w:rPr>
          <w:rFonts w:asciiTheme="minorHAnsi" w:hAnsiTheme="minorHAnsi" w:cstheme="minorHAnsi"/>
          <w:szCs w:val="24"/>
        </w:rPr>
        <w:t xml:space="preserve"> develop advanced</w:t>
      </w:r>
      <w:r w:rsidR="00932938">
        <w:rPr>
          <w:rFonts w:asciiTheme="minorHAnsi" w:hAnsiTheme="minorHAnsi" w:cstheme="minorHAnsi"/>
          <w:szCs w:val="24"/>
        </w:rPr>
        <w:t xml:space="preserve"> skills. We</w:t>
      </w:r>
      <w:r>
        <w:rPr>
          <w:rFonts w:asciiTheme="minorHAnsi" w:hAnsiTheme="minorHAnsi" w:cstheme="minorHAnsi"/>
          <w:szCs w:val="24"/>
        </w:rPr>
        <w:t xml:space="preserve"> believe that postgraduate researchers</w:t>
      </w:r>
      <w:r w:rsidR="00D24C56">
        <w:rPr>
          <w:rFonts w:asciiTheme="minorHAnsi" w:hAnsiTheme="minorHAnsi" w:cstheme="minorHAnsi"/>
          <w:szCs w:val="24"/>
        </w:rPr>
        <w:t xml:space="preserve"> might want to dev</w:t>
      </w:r>
      <w:r w:rsidR="00A73C0E">
        <w:rPr>
          <w:rFonts w:asciiTheme="minorHAnsi" w:hAnsiTheme="minorHAnsi" w:cstheme="minorHAnsi"/>
          <w:szCs w:val="24"/>
        </w:rPr>
        <w:t xml:space="preserve">elop these skills for </w:t>
      </w:r>
      <w:r>
        <w:rPr>
          <w:rFonts w:asciiTheme="minorHAnsi" w:hAnsiTheme="minorHAnsi" w:cstheme="minorHAnsi"/>
          <w:szCs w:val="24"/>
        </w:rPr>
        <w:t xml:space="preserve">either </w:t>
      </w:r>
      <w:r w:rsidR="00A73C0E">
        <w:rPr>
          <w:rFonts w:asciiTheme="minorHAnsi" w:hAnsiTheme="minorHAnsi" w:cstheme="minorHAnsi"/>
          <w:szCs w:val="24"/>
        </w:rPr>
        <w:t xml:space="preserve">personal or </w:t>
      </w:r>
      <w:r w:rsidR="00D24C56">
        <w:rPr>
          <w:rFonts w:asciiTheme="minorHAnsi" w:hAnsiTheme="minorHAnsi" w:cstheme="minorHAnsi"/>
          <w:szCs w:val="24"/>
        </w:rPr>
        <w:t xml:space="preserve">professional </w:t>
      </w:r>
      <w:r w:rsidR="005C28D3">
        <w:rPr>
          <w:rFonts w:asciiTheme="minorHAnsi" w:hAnsiTheme="minorHAnsi" w:cstheme="minorHAnsi"/>
          <w:szCs w:val="24"/>
        </w:rPr>
        <w:t xml:space="preserve">reasons </w:t>
      </w:r>
      <w:r w:rsidR="00D24C56">
        <w:rPr>
          <w:rFonts w:asciiTheme="minorHAnsi" w:hAnsiTheme="minorHAnsi" w:cstheme="minorHAnsi"/>
          <w:szCs w:val="24"/>
        </w:rPr>
        <w:t>and that we should b</w:t>
      </w:r>
      <w:r w:rsidR="00932938">
        <w:rPr>
          <w:rFonts w:asciiTheme="minorHAnsi" w:hAnsiTheme="minorHAnsi" w:cstheme="minorHAnsi"/>
          <w:szCs w:val="24"/>
        </w:rPr>
        <w:t>e supporting them in doing so. We</w:t>
      </w:r>
      <w:r w:rsidR="00D24C56">
        <w:rPr>
          <w:rFonts w:asciiTheme="minorHAnsi" w:hAnsiTheme="minorHAnsi" w:cstheme="minorHAnsi"/>
          <w:szCs w:val="24"/>
        </w:rPr>
        <w:t xml:space="preserve"> think the evidence shows that advanced research skill</w:t>
      </w:r>
      <w:r w:rsidR="00A73C0E">
        <w:rPr>
          <w:rFonts w:asciiTheme="minorHAnsi" w:hAnsiTheme="minorHAnsi" w:cstheme="minorHAnsi"/>
          <w:szCs w:val="24"/>
        </w:rPr>
        <w:t>s are learned primarily through practice</w:t>
      </w:r>
      <w:r w:rsidR="00D24C56">
        <w:rPr>
          <w:rFonts w:asciiTheme="minorHAnsi" w:hAnsiTheme="minorHAnsi" w:cstheme="minorHAnsi"/>
          <w:szCs w:val="24"/>
        </w:rPr>
        <w:t xml:space="preserve"> – there’s no substitute for </w:t>
      </w:r>
      <w:r w:rsidR="001E5FB1">
        <w:rPr>
          <w:rFonts w:asciiTheme="minorHAnsi" w:hAnsiTheme="minorHAnsi" w:cstheme="minorHAnsi"/>
          <w:szCs w:val="24"/>
        </w:rPr>
        <w:t xml:space="preserve">research </w:t>
      </w:r>
      <w:r w:rsidR="00D24C56">
        <w:rPr>
          <w:rFonts w:asciiTheme="minorHAnsi" w:hAnsiTheme="minorHAnsi" w:cstheme="minorHAnsi"/>
          <w:szCs w:val="24"/>
        </w:rPr>
        <w:t xml:space="preserve">experience – but that both an understanding of intellectual foundations and </w:t>
      </w:r>
      <w:r>
        <w:rPr>
          <w:rFonts w:asciiTheme="minorHAnsi" w:hAnsiTheme="minorHAnsi" w:cstheme="minorHAnsi"/>
          <w:szCs w:val="24"/>
        </w:rPr>
        <w:t xml:space="preserve">of </w:t>
      </w:r>
      <w:r w:rsidR="00D24C56">
        <w:rPr>
          <w:rFonts w:asciiTheme="minorHAnsi" w:hAnsiTheme="minorHAnsi" w:cstheme="minorHAnsi"/>
          <w:szCs w:val="24"/>
        </w:rPr>
        <w:t>the development of complementary skills help</w:t>
      </w:r>
      <w:r>
        <w:rPr>
          <w:rFonts w:asciiTheme="minorHAnsi" w:hAnsiTheme="minorHAnsi" w:cstheme="minorHAnsi"/>
          <w:szCs w:val="24"/>
        </w:rPr>
        <w:t>s</w:t>
      </w:r>
      <w:r w:rsidR="00932938">
        <w:rPr>
          <w:rFonts w:asciiTheme="minorHAnsi" w:hAnsiTheme="minorHAnsi" w:cstheme="minorHAnsi"/>
          <w:szCs w:val="24"/>
        </w:rPr>
        <w:t xml:space="preserve"> the process enormously. We</w:t>
      </w:r>
      <w:r w:rsidR="00D24C56">
        <w:rPr>
          <w:rFonts w:asciiTheme="minorHAnsi" w:hAnsiTheme="minorHAnsi" w:cstheme="minorHAnsi"/>
          <w:szCs w:val="24"/>
        </w:rPr>
        <w:t xml:space="preserve"> believe that UWE should provide the opportun</w:t>
      </w:r>
      <w:r>
        <w:rPr>
          <w:rFonts w:asciiTheme="minorHAnsi" w:hAnsiTheme="minorHAnsi" w:cstheme="minorHAnsi"/>
          <w:szCs w:val="24"/>
        </w:rPr>
        <w:t>ity for postgraduate researchers</w:t>
      </w:r>
      <w:r w:rsidR="00D24C56">
        <w:rPr>
          <w:rFonts w:asciiTheme="minorHAnsi" w:hAnsiTheme="minorHAnsi" w:cstheme="minorHAnsi"/>
          <w:szCs w:val="24"/>
        </w:rPr>
        <w:t xml:space="preserve"> to engage with activities </w:t>
      </w:r>
      <w:r w:rsidR="00A73C0E">
        <w:rPr>
          <w:rFonts w:asciiTheme="minorHAnsi" w:hAnsiTheme="minorHAnsi" w:cstheme="minorHAnsi"/>
          <w:szCs w:val="24"/>
        </w:rPr>
        <w:t>that might help their personal, professional</w:t>
      </w:r>
      <w:r w:rsidR="00D24C56">
        <w:rPr>
          <w:rFonts w:asciiTheme="minorHAnsi" w:hAnsiTheme="minorHAnsi" w:cstheme="minorHAnsi"/>
          <w:szCs w:val="24"/>
        </w:rPr>
        <w:t xml:space="preserve"> </w:t>
      </w:r>
      <w:r w:rsidR="00A73C0E">
        <w:rPr>
          <w:rFonts w:asciiTheme="minorHAnsi" w:hAnsiTheme="minorHAnsi" w:cstheme="minorHAnsi"/>
          <w:szCs w:val="24"/>
        </w:rPr>
        <w:t xml:space="preserve">and career </w:t>
      </w:r>
      <w:r w:rsidR="00D24C56">
        <w:rPr>
          <w:rFonts w:asciiTheme="minorHAnsi" w:hAnsiTheme="minorHAnsi" w:cstheme="minorHAnsi"/>
          <w:szCs w:val="24"/>
        </w:rPr>
        <w:t xml:space="preserve">aspirations because it will increase their chances of enjoying their degree, </w:t>
      </w:r>
      <w:r w:rsidR="005C28D3">
        <w:rPr>
          <w:rFonts w:asciiTheme="minorHAnsi" w:hAnsiTheme="minorHAnsi" w:cstheme="minorHAnsi"/>
          <w:szCs w:val="24"/>
        </w:rPr>
        <w:t xml:space="preserve">and therefore </w:t>
      </w:r>
      <w:r w:rsidR="00D24C56">
        <w:rPr>
          <w:rFonts w:asciiTheme="minorHAnsi" w:hAnsiTheme="minorHAnsi" w:cstheme="minorHAnsi"/>
          <w:szCs w:val="24"/>
        </w:rPr>
        <w:t xml:space="preserve">completing it and getting what they want out of it.    </w:t>
      </w:r>
    </w:p>
    <w:p w14:paraId="58DD3336" w14:textId="717F9693" w:rsidR="00D24C56" w:rsidRDefault="00D24C56" w:rsidP="00D24C56">
      <w:pPr>
        <w:pStyle w:val="indent2"/>
        <w:tabs>
          <w:tab w:val="clear" w:pos="0"/>
          <w:tab w:val="clear" w:pos="720"/>
        </w:tabs>
        <w:spacing w:after="120"/>
        <w:jc w:val="both"/>
        <w:rPr>
          <w:szCs w:val="24"/>
        </w:rPr>
      </w:pPr>
      <w:r w:rsidRPr="00D24C56">
        <w:rPr>
          <w:rFonts w:asciiTheme="minorHAnsi" w:hAnsiTheme="minorHAnsi" w:cstheme="minorHAnsi"/>
          <w:szCs w:val="24"/>
        </w:rPr>
        <w:t xml:space="preserve">The </w:t>
      </w:r>
      <w:hyperlink r:id="rId9" w:history="1">
        <w:r w:rsidRPr="00D24C56">
          <w:rPr>
            <w:rStyle w:val="Hyperlink"/>
            <w:rFonts w:asciiTheme="minorHAnsi" w:hAnsiTheme="minorHAnsi" w:cstheme="minorHAnsi"/>
            <w:szCs w:val="24"/>
          </w:rPr>
          <w:t>QAA ‘Doctoral Characteristics’</w:t>
        </w:r>
      </w:hyperlink>
      <w:r w:rsidR="001E5FB1">
        <w:rPr>
          <w:rFonts w:asciiTheme="minorHAnsi" w:hAnsiTheme="minorHAnsi" w:cstheme="minorHAnsi"/>
          <w:szCs w:val="24"/>
        </w:rPr>
        <w:t xml:space="preserve"> (Sept 2011)</w:t>
      </w:r>
      <w:r w:rsidRPr="00D24C56">
        <w:rPr>
          <w:rFonts w:asciiTheme="minorHAnsi" w:hAnsiTheme="minorHAnsi" w:cstheme="minorHAnsi"/>
          <w:szCs w:val="24"/>
        </w:rPr>
        <w:t xml:space="preserve"> is clear that Graduate Schools should play a key role in </w:t>
      </w:r>
      <w:r w:rsidR="005C28D3">
        <w:rPr>
          <w:rFonts w:asciiTheme="minorHAnsi" w:hAnsiTheme="minorHAnsi" w:cstheme="minorHAnsi"/>
          <w:szCs w:val="24"/>
        </w:rPr>
        <w:t>the delivery of</w:t>
      </w:r>
      <w:r w:rsidRPr="00D24C56">
        <w:rPr>
          <w:rFonts w:asciiTheme="minorHAnsi" w:hAnsiTheme="minorHAnsi" w:cstheme="minorHAnsi"/>
          <w:szCs w:val="24"/>
        </w:rPr>
        <w:t xml:space="preserve"> personal </w:t>
      </w:r>
      <w:r w:rsidR="005C28D3">
        <w:rPr>
          <w:rFonts w:asciiTheme="minorHAnsi" w:hAnsiTheme="minorHAnsi" w:cstheme="minorHAnsi"/>
          <w:szCs w:val="24"/>
        </w:rPr>
        <w:t xml:space="preserve">and professional </w:t>
      </w:r>
      <w:r w:rsidRPr="00D24C56">
        <w:rPr>
          <w:rFonts w:asciiTheme="minorHAnsi" w:hAnsiTheme="minorHAnsi" w:cstheme="minorHAnsi"/>
          <w:szCs w:val="24"/>
        </w:rPr>
        <w:t xml:space="preserve">skills </w:t>
      </w:r>
      <w:r>
        <w:rPr>
          <w:rFonts w:asciiTheme="minorHAnsi" w:hAnsiTheme="minorHAnsi" w:cstheme="minorHAnsi"/>
          <w:szCs w:val="24"/>
        </w:rPr>
        <w:t xml:space="preserve">development </w:t>
      </w:r>
      <w:r w:rsidRPr="00D24C56">
        <w:rPr>
          <w:rFonts w:asciiTheme="minorHAnsi" w:hAnsiTheme="minorHAnsi" w:cstheme="minorHAnsi"/>
          <w:szCs w:val="24"/>
        </w:rPr>
        <w:t xml:space="preserve">for research degrees. Such skills are </w:t>
      </w:r>
      <w:r>
        <w:rPr>
          <w:rFonts w:asciiTheme="minorHAnsi" w:hAnsiTheme="minorHAnsi" w:cstheme="minorHAnsi"/>
          <w:szCs w:val="24"/>
        </w:rPr>
        <w:t xml:space="preserve">now </w:t>
      </w:r>
      <w:r w:rsidRPr="00D24C56">
        <w:rPr>
          <w:rFonts w:asciiTheme="minorHAnsi" w:hAnsiTheme="minorHAnsi" w:cstheme="minorHAnsi"/>
          <w:szCs w:val="24"/>
        </w:rPr>
        <w:t>an essential component of UK research degrees</w:t>
      </w:r>
      <w:r w:rsidR="001E5FB1">
        <w:rPr>
          <w:rFonts w:asciiTheme="minorHAnsi" w:hAnsiTheme="minorHAnsi" w:cstheme="minorHAnsi"/>
          <w:szCs w:val="24"/>
        </w:rPr>
        <w:t>,</w:t>
      </w:r>
      <w:r w:rsidRPr="00D24C56">
        <w:rPr>
          <w:rFonts w:asciiTheme="minorHAnsi" w:hAnsiTheme="minorHAnsi" w:cstheme="minorHAnsi"/>
          <w:szCs w:val="24"/>
        </w:rPr>
        <w:t xml:space="preserve"> with particular emphasis on professional develop</w:t>
      </w:r>
      <w:r>
        <w:rPr>
          <w:rFonts w:asciiTheme="minorHAnsi" w:hAnsiTheme="minorHAnsi" w:cstheme="minorHAnsi"/>
          <w:szCs w:val="24"/>
        </w:rPr>
        <w:t>ment</w:t>
      </w:r>
      <w:r w:rsidR="007B5F04">
        <w:rPr>
          <w:rFonts w:asciiTheme="minorHAnsi" w:hAnsiTheme="minorHAnsi" w:cstheme="minorHAnsi"/>
          <w:szCs w:val="24"/>
        </w:rPr>
        <w:t>. The</w:t>
      </w:r>
      <w:r w:rsidRPr="00D24C56">
        <w:rPr>
          <w:rFonts w:asciiTheme="minorHAnsi" w:hAnsiTheme="minorHAnsi" w:cstheme="minorHAnsi"/>
          <w:szCs w:val="24"/>
        </w:rPr>
        <w:t xml:space="preserve"> </w:t>
      </w:r>
      <w:hyperlink r:id="rId10" w:history="1">
        <w:r w:rsidRPr="00D24C56">
          <w:rPr>
            <w:rStyle w:val="Hyperlink"/>
            <w:rFonts w:asciiTheme="minorHAnsi" w:hAnsiTheme="minorHAnsi" w:cstheme="minorHAnsi"/>
            <w:szCs w:val="24"/>
          </w:rPr>
          <w:t>QAA Quality Code</w:t>
        </w:r>
      </w:hyperlink>
      <w:r>
        <w:rPr>
          <w:rFonts w:asciiTheme="minorHAnsi" w:hAnsiTheme="minorHAnsi" w:cstheme="minorHAnsi"/>
          <w:szCs w:val="24"/>
        </w:rPr>
        <w:t>’s chapter</w:t>
      </w:r>
      <w:r w:rsidRPr="00D24C56">
        <w:rPr>
          <w:rFonts w:asciiTheme="minorHAnsi" w:hAnsiTheme="minorHAnsi" w:cstheme="minorHAnsi"/>
          <w:szCs w:val="24"/>
        </w:rPr>
        <w:t xml:space="preserve"> </w:t>
      </w:r>
      <w:r>
        <w:rPr>
          <w:rFonts w:asciiTheme="minorHAnsi" w:hAnsiTheme="minorHAnsi" w:cstheme="minorHAnsi"/>
          <w:szCs w:val="24"/>
        </w:rPr>
        <w:t>on research degrees</w:t>
      </w:r>
      <w:r w:rsidRPr="00D24C56">
        <w:rPr>
          <w:rFonts w:asciiTheme="minorHAnsi" w:hAnsiTheme="minorHAnsi" w:cstheme="minorHAnsi"/>
          <w:szCs w:val="24"/>
        </w:rPr>
        <w:t xml:space="preserve"> include</w:t>
      </w:r>
      <w:r w:rsidR="008B3E5A">
        <w:rPr>
          <w:rFonts w:asciiTheme="minorHAnsi" w:hAnsiTheme="minorHAnsi" w:cstheme="minorHAnsi"/>
          <w:szCs w:val="24"/>
        </w:rPr>
        <w:t>s</w:t>
      </w:r>
      <w:r w:rsidRPr="00D24C56">
        <w:rPr>
          <w:rFonts w:asciiTheme="minorHAnsi" w:hAnsiTheme="minorHAnsi" w:cstheme="minorHAnsi"/>
          <w:szCs w:val="24"/>
        </w:rPr>
        <w:t xml:space="preserve"> key indicator</w:t>
      </w:r>
      <w:r w:rsidR="008B3E5A">
        <w:rPr>
          <w:rFonts w:asciiTheme="minorHAnsi" w:hAnsiTheme="minorHAnsi" w:cstheme="minorHAnsi"/>
          <w:szCs w:val="24"/>
        </w:rPr>
        <w:t xml:space="preserve"> 14 </w:t>
      </w:r>
      <w:r w:rsidRPr="00D24C56">
        <w:rPr>
          <w:rFonts w:asciiTheme="minorHAnsi" w:hAnsiTheme="minorHAnsi" w:cstheme="minorHAnsi"/>
          <w:szCs w:val="24"/>
        </w:rPr>
        <w:t>to ensure that institutions provide and monitor th</w:t>
      </w:r>
      <w:r w:rsidR="005C28D3">
        <w:rPr>
          <w:rFonts w:asciiTheme="minorHAnsi" w:hAnsiTheme="minorHAnsi" w:cstheme="minorHAnsi"/>
          <w:szCs w:val="24"/>
        </w:rPr>
        <w:t xml:space="preserve">e provision of </w:t>
      </w:r>
      <w:r w:rsidRPr="00D24C56">
        <w:rPr>
          <w:rFonts w:asciiTheme="minorHAnsi" w:hAnsiTheme="minorHAnsi" w:cstheme="minorHAnsi"/>
          <w:szCs w:val="24"/>
        </w:rPr>
        <w:t xml:space="preserve">personal </w:t>
      </w:r>
      <w:r w:rsidR="005C28D3">
        <w:rPr>
          <w:rFonts w:asciiTheme="minorHAnsi" w:hAnsiTheme="minorHAnsi" w:cstheme="minorHAnsi"/>
          <w:szCs w:val="24"/>
        </w:rPr>
        <w:t xml:space="preserve">and professional </w:t>
      </w:r>
      <w:r w:rsidRPr="00D24C56">
        <w:rPr>
          <w:rFonts w:asciiTheme="minorHAnsi" w:hAnsiTheme="minorHAnsi" w:cstheme="minorHAnsi"/>
          <w:szCs w:val="24"/>
        </w:rPr>
        <w:t>ski</w:t>
      </w:r>
      <w:r w:rsidR="00F50305">
        <w:rPr>
          <w:rFonts w:asciiTheme="minorHAnsi" w:hAnsiTheme="minorHAnsi" w:cstheme="minorHAnsi"/>
          <w:szCs w:val="24"/>
        </w:rPr>
        <w:t>lls for postgraduate researchers</w:t>
      </w:r>
      <w:r w:rsidRPr="00D24C56">
        <w:rPr>
          <w:rFonts w:asciiTheme="minorHAnsi" w:hAnsiTheme="minorHAnsi" w:cstheme="minorHAnsi"/>
          <w:szCs w:val="24"/>
        </w:rPr>
        <w:t>. Vitae (</w:t>
      </w:r>
      <w:hyperlink r:id="rId11" w:history="1">
        <w:r w:rsidRPr="00D24C56">
          <w:rPr>
            <w:rStyle w:val="Hyperlink"/>
            <w:rFonts w:asciiTheme="minorHAnsi" w:hAnsiTheme="minorHAnsi" w:cstheme="minorHAnsi"/>
            <w:szCs w:val="24"/>
          </w:rPr>
          <w:t>http://www.vitae.ac.uk/</w:t>
        </w:r>
      </w:hyperlink>
      <w:r w:rsidR="005C28D3">
        <w:rPr>
          <w:rFonts w:asciiTheme="minorHAnsi" w:hAnsiTheme="minorHAnsi" w:cstheme="minorHAnsi"/>
          <w:szCs w:val="24"/>
        </w:rPr>
        <w:t>) was</w:t>
      </w:r>
      <w:r w:rsidRPr="00D24C56">
        <w:rPr>
          <w:rFonts w:asciiTheme="minorHAnsi" w:hAnsiTheme="minorHAnsi" w:cstheme="minorHAnsi"/>
          <w:szCs w:val="24"/>
        </w:rPr>
        <w:t xml:space="preserve"> supported over a number of years by the UK Research Councils</w:t>
      </w:r>
      <w:r>
        <w:rPr>
          <w:rFonts w:asciiTheme="minorHAnsi" w:hAnsiTheme="minorHAnsi" w:cstheme="minorHAnsi"/>
          <w:szCs w:val="24"/>
        </w:rPr>
        <w:t xml:space="preserve"> and others </w:t>
      </w:r>
      <w:r w:rsidRPr="00D24C56">
        <w:rPr>
          <w:rFonts w:asciiTheme="minorHAnsi" w:hAnsiTheme="minorHAnsi" w:cstheme="minorHAnsi"/>
          <w:szCs w:val="24"/>
        </w:rPr>
        <w:t>to enable ‘personal, professional and career development of doctoral researchers‘. They have propo</w:t>
      </w:r>
      <w:r>
        <w:rPr>
          <w:rFonts w:asciiTheme="minorHAnsi" w:hAnsiTheme="minorHAnsi" w:cstheme="minorHAnsi"/>
          <w:szCs w:val="24"/>
        </w:rPr>
        <w:t>sed a</w:t>
      </w:r>
      <w:r w:rsidRPr="00D24C56">
        <w:rPr>
          <w:rFonts w:asciiTheme="minorHAnsi" w:hAnsiTheme="minorHAnsi" w:cstheme="minorHAnsi"/>
          <w:szCs w:val="24"/>
        </w:rPr>
        <w:t xml:space="preserve"> widely used Researcher Development Framework</w:t>
      </w:r>
      <w:r w:rsidR="001E5FB1">
        <w:rPr>
          <w:rFonts w:asciiTheme="minorHAnsi" w:hAnsiTheme="minorHAnsi" w:cstheme="minorHAnsi"/>
          <w:szCs w:val="24"/>
        </w:rPr>
        <w:t xml:space="preserve"> (RDF). This</w:t>
      </w:r>
      <w:r>
        <w:rPr>
          <w:rFonts w:asciiTheme="minorHAnsi" w:hAnsiTheme="minorHAnsi" w:cstheme="minorHAnsi"/>
          <w:szCs w:val="24"/>
        </w:rPr>
        <w:t xml:space="preserve"> UWE Graduate School module</w:t>
      </w:r>
      <w:r w:rsidR="00C166C2">
        <w:rPr>
          <w:rFonts w:asciiTheme="minorHAnsi" w:hAnsiTheme="minorHAnsi" w:cstheme="minorHAnsi"/>
          <w:szCs w:val="24"/>
        </w:rPr>
        <w:t>,</w:t>
      </w:r>
      <w:r>
        <w:rPr>
          <w:rFonts w:asciiTheme="minorHAnsi" w:hAnsiTheme="minorHAnsi" w:cstheme="minorHAnsi"/>
          <w:szCs w:val="24"/>
        </w:rPr>
        <w:t xml:space="preserve"> ‘Research in Contemporary Context’</w:t>
      </w:r>
      <w:r w:rsidR="00C166C2">
        <w:rPr>
          <w:rFonts w:asciiTheme="minorHAnsi" w:hAnsiTheme="minorHAnsi" w:cstheme="minorHAnsi"/>
          <w:szCs w:val="24"/>
        </w:rPr>
        <w:t>,</w:t>
      </w:r>
      <w:r>
        <w:rPr>
          <w:rFonts w:asciiTheme="minorHAnsi" w:hAnsiTheme="minorHAnsi" w:cstheme="minorHAnsi"/>
          <w:szCs w:val="24"/>
        </w:rPr>
        <w:t xml:space="preserve"> uses Vitae’s RDF to focus the provision of personal, professional and career development for research degree students</w:t>
      </w:r>
      <w:r w:rsidRPr="00D24C56">
        <w:rPr>
          <w:rFonts w:asciiTheme="minorHAnsi" w:hAnsiTheme="minorHAnsi" w:cstheme="minorHAnsi"/>
          <w:szCs w:val="24"/>
        </w:rPr>
        <w:t>.</w:t>
      </w:r>
      <w:r w:rsidR="00C166C2">
        <w:rPr>
          <w:rFonts w:asciiTheme="minorHAnsi" w:hAnsiTheme="minorHAnsi" w:cstheme="minorHAnsi"/>
          <w:szCs w:val="24"/>
        </w:rPr>
        <w:t xml:space="preserve"> In a</w:t>
      </w:r>
      <w:r w:rsidR="007B5F04">
        <w:rPr>
          <w:rFonts w:asciiTheme="minorHAnsi" w:hAnsiTheme="minorHAnsi" w:cstheme="minorHAnsi"/>
          <w:szCs w:val="24"/>
        </w:rPr>
        <w:t xml:space="preserve"> </w:t>
      </w:r>
      <w:r>
        <w:rPr>
          <w:rFonts w:asciiTheme="minorHAnsi" w:hAnsiTheme="minorHAnsi" w:cstheme="minorHAnsi"/>
          <w:szCs w:val="24"/>
        </w:rPr>
        <w:t xml:space="preserve">recent review of postgraduate education in the UK, the </w:t>
      </w:r>
      <w:hyperlink r:id="rId12" w:history="1">
        <w:r w:rsidRPr="00D24C56">
          <w:rPr>
            <w:rStyle w:val="Hyperlink"/>
            <w:rFonts w:asciiTheme="minorHAnsi" w:hAnsiTheme="minorHAnsi" w:cstheme="minorHAnsi"/>
            <w:szCs w:val="24"/>
          </w:rPr>
          <w:t>Smith Review</w:t>
        </w:r>
      </w:hyperlink>
      <w:r>
        <w:rPr>
          <w:rFonts w:asciiTheme="minorHAnsi" w:hAnsiTheme="minorHAnsi" w:cstheme="minorHAnsi"/>
          <w:szCs w:val="24"/>
        </w:rPr>
        <w:t>, there were clear recommendations that Universities should work t</w:t>
      </w:r>
      <w:r w:rsidR="009123C8">
        <w:rPr>
          <w:rFonts w:asciiTheme="minorHAnsi" w:hAnsiTheme="minorHAnsi" w:cstheme="minorHAnsi"/>
          <w:szCs w:val="24"/>
        </w:rPr>
        <w:t>o QAA guidelines on skills devel</w:t>
      </w:r>
      <w:r>
        <w:rPr>
          <w:rFonts w:asciiTheme="minorHAnsi" w:hAnsiTheme="minorHAnsi" w:cstheme="minorHAnsi"/>
          <w:szCs w:val="24"/>
        </w:rPr>
        <w:t>opment and within the Vitae framework.</w:t>
      </w:r>
      <w:r w:rsidR="00D12446">
        <w:rPr>
          <w:rFonts w:asciiTheme="minorHAnsi" w:hAnsiTheme="minorHAnsi" w:cstheme="minorHAnsi"/>
          <w:szCs w:val="24"/>
        </w:rPr>
        <w:t xml:space="preserve"> </w:t>
      </w:r>
    </w:p>
    <w:p w14:paraId="390286D8" w14:textId="77777777" w:rsidR="00D24C56" w:rsidRPr="00D24C56" w:rsidRDefault="00D24C56" w:rsidP="00D24C56">
      <w:pPr>
        <w:rPr>
          <w:b/>
          <w:sz w:val="28"/>
          <w:szCs w:val="28"/>
        </w:rPr>
      </w:pPr>
      <w:r w:rsidRPr="00D24C56">
        <w:rPr>
          <w:b/>
          <w:sz w:val="28"/>
          <w:szCs w:val="28"/>
        </w:rPr>
        <w:t>Aim of the Module</w:t>
      </w:r>
    </w:p>
    <w:p w14:paraId="30FBD959" w14:textId="3CB2CB6E" w:rsidR="00D24C56" w:rsidRDefault="00D12446" w:rsidP="001E5FB1">
      <w:pPr>
        <w:spacing w:line="240" w:lineRule="auto"/>
        <w:jc w:val="both"/>
        <w:rPr>
          <w:sz w:val="24"/>
          <w:szCs w:val="24"/>
        </w:rPr>
      </w:pPr>
      <w:r w:rsidRPr="001E5FB1">
        <w:rPr>
          <w:rFonts w:cstheme="minorHAnsi"/>
          <w:sz w:val="24"/>
          <w:szCs w:val="24"/>
        </w:rPr>
        <w:t>On the RD1 fo</w:t>
      </w:r>
      <w:r w:rsidR="00F50305">
        <w:rPr>
          <w:rFonts w:cstheme="minorHAnsi"/>
          <w:sz w:val="24"/>
          <w:szCs w:val="24"/>
        </w:rPr>
        <w:t>rm that postgraduate researchers</w:t>
      </w:r>
      <w:r w:rsidRPr="001E5FB1">
        <w:rPr>
          <w:rFonts w:cstheme="minorHAnsi"/>
          <w:sz w:val="24"/>
          <w:szCs w:val="24"/>
        </w:rPr>
        <w:t xml:space="preserve"> use to register their projects</w:t>
      </w:r>
      <w:r w:rsidR="001E5FB1">
        <w:rPr>
          <w:rFonts w:cstheme="minorHAnsi"/>
          <w:sz w:val="24"/>
          <w:szCs w:val="24"/>
        </w:rPr>
        <w:t>,</w:t>
      </w:r>
      <w:r w:rsidRPr="001E5FB1">
        <w:rPr>
          <w:rFonts w:cstheme="minorHAnsi"/>
          <w:sz w:val="24"/>
          <w:szCs w:val="24"/>
        </w:rPr>
        <w:t xml:space="preserve"> there is a needs analysis</w:t>
      </w:r>
      <w:r>
        <w:rPr>
          <w:sz w:val="24"/>
          <w:szCs w:val="24"/>
        </w:rPr>
        <w:t xml:space="preserve"> for skills development. The ‘Research In Contemporary Context’ module (30 M credits) is intended to compleme</w:t>
      </w:r>
      <w:r w:rsidR="00F50305">
        <w:rPr>
          <w:sz w:val="24"/>
          <w:szCs w:val="24"/>
        </w:rPr>
        <w:t>nt other module(s) that postgraduate researchers</w:t>
      </w:r>
      <w:r>
        <w:rPr>
          <w:sz w:val="24"/>
          <w:szCs w:val="24"/>
        </w:rPr>
        <w:t xml:space="preserve"> and </w:t>
      </w:r>
      <w:r>
        <w:rPr>
          <w:sz w:val="24"/>
          <w:szCs w:val="24"/>
        </w:rPr>
        <w:lastRenderedPageBreak/>
        <w:t>supervisors ma</w:t>
      </w:r>
      <w:r w:rsidR="00862D50">
        <w:rPr>
          <w:sz w:val="24"/>
          <w:szCs w:val="24"/>
        </w:rPr>
        <w:t>y choose/advise for skills devel</w:t>
      </w:r>
      <w:r>
        <w:rPr>
          <w:sz w:val="24"/>
          <w:szCs w:val="24"/>
        </w:rPr>
        <w:t xml:space="preserve">opment. </w:t>
      </w:r>
      <w:r w:rsidR="00D24C56">
        <w:rPr>
          <w:sz w:val="24"/>
          <w:szCs w:val="24"/>
        </w:rPr>
        <w:t xml:space="preserve">Our intention is </w:t>
      </w:r>
      <w:r w:rsidR="001E5FB1">
        <w:rPr>
          <w:sz w:val="24"/>
          <w:szCs w:val="24"/>
        </w:rPr>
        <w:t xml:space="preserve">to </w:t>
      </w:r>
      <w:r w:rsidR="00D24C56">
        <w:rPr>
          <w:sz w:val="24"/>
          <w:szCs w:val="24"/>
        </w:rPr>
        <w:t>use this module t</w:t>
      </w:r>
      <w:r>
        <w:rPr>
          <w:sz w:val="24"/>
          <w:szCs w:val="24"/>
        </w:rPr>
        <w:t>o help make skills development at</w:t>
      </w:r>
      <w:r w:rsidR="00D24C56">
        <w:rPr>
          <w:sz w:val="24"/>
          <w:szCs w:val="24"/>
        </w:rPr>
        <w:t xml:space="preserve"> UWE enjoyable, useful</w:t>
      </w:r>
      <w:r w:rsidR="00F50305">
        <w:rPr>
          <w:sz w:val="24"/>
          <w:szCs w:val="24"/>
        </w:rPr>
        <w:t xml:space="preserve"> and flexible in meeting</w:t>
      </w:r>
      <w:r w:rsidR="00D24C56">
        <w:rPr>
          <w:sz w:val="24"/>
          <w:szCs w:val="24"/>
        </w:rPr>
        <w:t xml:space="preserve"> needs. The aim of the module is to embed personal, professional and care</w:t>
      </w:r>
      <w:r w:rsidR="00F50305">
        <w:rPr>
          <w:sz w:val="24"/>
          <w:szCs w:val="24"/>
        </w:rPr>
        <w:t>er development in each postgraduate researcher's</w:t>
      </w:r>
      <w:r w:rsidR="00D24C56">
        <w:rPr>
          <w:sz w:val="24"/>
          <w:szCs w:val="24"/>
        </w:rPr>
        <w:t xml:space="preserve"> individual research degree to help them make the suc</w:t>
      </w:r>
      <w:r w:rsidR="00862D50">
        <w:rPr>
          <w:sz w:val="24"/>
          <w:szCs w:val="24"/>
        </w:rPr>
        <w:t>c</w:t>
      </w:r>
      <w:r w:rsidR="00D24C56">
        <w:rPr>
          <w:sz w:val="24"/>
          <w:szCs w:val="24"/>
        </w:rPr>
        <w:t>ess of it that they want.</w:t>
      </w:r>
    </w:p>
    <w:p w14:paraId="48CDECBF" w14:textId="77777777" w:rsidR="00D24C56" w:rsidRPr="00D24C56" w:rsidRDefault="00D24C56" w:rsidP="00D24C56">
      <w:pPr>
        <w:rPr>
          <w:b/>
          <w:sz w:val="28"/>
          <w:szCs w:val="28"/>
        </w:rPr>
      </w:pPr>
      <w:r w:rsidRPr="00D24C56">
        <w:rPr>
          <w:b/>
          <w:sz w:val="28"/>
          <w:szCs w:val="28"/>
        </w:rPr>
        <w:t>Module Content</w:t>
      </w:r>
    </w:p>
    <w:p w14:paraId="1F0024D2" w14:textId="77777777" w:rsidR="00D24C56" w:rsidRPr="00D24C56" w:rsidRDefault="00D24C56" w:rsidP="00D24C56">
      <w:pPr>
        <w:pStyle w:val="indent2"/>
        <w:tabs>
          <w:tab w:val="clear" w:pos="0"/>
          <w:tab w:val="clear" w:pos="720"/>
        </w:tabs>
        <w:spacing w:after="120"/>
        <w:jc w:val="both"/>
        <w:rPr>
          <w:rFonts w:asciiTheme="minorHAnsi" w:hAnsiTheme="minorHAnsi" w:cstheme="minorHAnsi"/>
          <w:szCs w:val="24"/>
        </w:rPr>
      </w:pPr>
      <w:r w:rsidRPr="00D24C56">
        <w:rPr>
          <w:rFonts w:asciiTheme="minorHAnsi" w:hAnsiTheme="minorHAnsi" w:cstheme="minorHAnsi"/>
          <w:szCs w:val="24"/>
        </w:rPr>
        <w:t>Learning on the module will be enabled by</w:t>
      </w:r>
      <w:r>
        <w:rPr>
          <w:rFonts w:asciiTheme="minorHAnsi" w:hAnsiTheme="minorHAnsi" w:cstheme="minorHAnsi"/>
          <w:szCs w:val="24"/>
        </w:rPr>
        <w:t xml:space="preserve"> </w:t>
      </w:r>
      <w:r w:rsidRPr="00D24C56">
        <w:rPr>
          <w:rFonts w:asciiTheme="minorHAnsi" w:hAnsiTheme="minorHAnsi" w:cstheme="minorHAnsi"/>
          <w:szCs w:val="24"/>
        </w:rPr>
        <w:t>workshops in two complementary strands – workshops for</w:t>
      </w:r>
      <w:r>
        <w:rPr>
          <w:rFonts w:asciiTheme="minorHAnsi" w:hAnsiTheme="minorHAnsi" w:cstheme="minorHAnsi"/>
          <w:szCs w:val="24"/>
        </w:rPr>
        <w:t xml:space="preserve"> ‘Professional Researcher’ and</w:t>
      </w:r>
      <w:r w:rsidR="00173A59">
        <w:rPr>
          <w:rFonts w:asciiTheme="minorHAnsi" w:hAnsiTheme="minorHAnsi" w:cstheme="minorHAnsi"/>
          <w:szCs w:val="24"/>
        </w:rPr>
        <w:t xml:space="preserve"> for ‘Researcher</w:t>
      </w:r>
      <w:r w:rsidRPr="00D24C56">
        <w:rPr>
          <w:rFonts w:asciiTheme="minorHAnsi" w:hAnsiTheme="minorHAnsi" w:cstheme="minorHAnsi"/>
          <w:szCs w:val="24"/>
        </w:rPr>
        <w:t xml:space="preserve"> Skills Development’ (see below). </w:t>
      </w:r>
      <w:r w:rsidR="001E5FB1">
        <w:rPr>
          <w:rFonts w:asciiTheme="minorHAnsi" w:hAnsiTheme="minorHAnsi" w:cstheme="minorHAnsi"/>
          <w:szCs w:val="24"/>
        </w:rPr>
        <w:t xml:space="preserve">A </w:t>
      </w:r>
      <w:r>
        <w:rPr>
          <w:rFonts w:asciiTheme="minorHAnsi" w:hAnsiTheme="minorHAnsi" w:cstheme="minorHAnsi"/>
          <w:szCs w:val="24"/>
        </w:rPr>
        <w:t>series of 6</w:t>
      </w:r>
      <w:r w:rsidRPr="00D24C56">
        <w:rPr>
          <w:rFonts w:asciiTheme="minorHAnsi" w:hAnsiTheme="minorHAnsi" w:cstheme="minorHAnsi"/>
          <w:szCs w:val="24"/>
        </w:rPr>
        <w:t xml:space="preserve"> Professional Researcher </w:t>
      </w:r>
      <w:r w:rsidR="00173A59">
        <w:rPr>
          <w:rFonts w:asciiTheme="minorHAnsi" w:hAnsiTheme="minorHAnsi" w:cstheme="minorHAnsi"/>
          <w:szCs w:val="24"/>
        </w:rPr>
        <w:t>workshops will be run (</w:t>
      </w:r>
      <w:r w:rsidRPr="00D24C56">
        <w:rPr>
          <w:rFonts w:asciiTheme="minorHAnsi" w:hAnsiTheme="minorHAnsi" w:cstheme="minorHAnsi"/>
          <w:szCs w:val="24"/>
        </w:rPr>
        <w:t xml:space="preserve">topics below). The Graduate School already runs </w:t>
      </w:r>
      <w:r w:rsidR="00173A59">
        <w:rPr>
          <w:rFonts w:asciiTheme="minorHAnsi" w:hAnsiTheme="minorHAnsi" w:cstheme="minorHAnsi"/>
          <w:szCs w:val="24"/>
        </w:rPr>
        <w:t>a significant number of Researcher</w:t>
      </w:r>
      <w:r w:rsidRPr="00D24C56">
        <w:rPr>
          <w:rFonts w:asciiTheme="minorHAnsi" w:hAnsiTheme="minorHAnsi" w:cstheme="minorHAnsi"/>
          <w:szCs w:val="24"/>
        </w:rPr>
        <w:t xml:space="preserve"> Skills Development workshops and</w:t>
      </w:r>
      <w:r w:rsidR="001E5FB1">
        <w:rPr>
          <w:rFonts w:asciiTheme="minorHAnsi" w:hAnsiTheme="minorHAnsi" w:cstheme="minorHAnsi"/>
          <w:szCs w:val="24"/>
        </w:rPr>
        <w:t>,</w:t>
      </w:r>
      <w:r w:rsidRPr="00D24C56">
        <w:rPr>
          <w:rFonts w:asciiTheme="minorHAnsi" w:hAnsiTheme="minorHAnsi" w:cstheme="minorHAnsi"/>
          <w:szCs w:val="24"/>
        </w:rPr>
        <w:t xml:space="preserve"> </w:t>
      </w:r>
      <w:r w:rsidR="001E5FB1">
        <w:rPr>
          <w:rFonts w:asciiTheme="minorHAnsi" w:hAnsiTheme="minorHAnsi" w:cstheme="minorHAnsi"/>
          <w:szCs w:val="24"/>
        </w:rPr>
        <w:t>from those</w:t>
      </w:r>
      <w:r>
        <w:rPr>
          <w:rFonts w:asciiTheme="minorHAnsi" w:hAnsiTheme="minorHAnsi" w:cstheme="minorHAnsi"/>
          <w:szCs w:val="24"/>
        </w:rPr>
        <w:t xml:space="preserve"> attended</w:t>
      </w:r>
      <w:r w:rsidR="001E5FB1">
        <w:rPr>
          <w:rFonts w:asciiTheme="minorHAnsi" w:hAnsiTheme="minorHAnsi" w:cstheme="minorHAnsi"/>
          <w:szCs w:val="24"/>
        </w:rPr>
        <w:t>,</w:t>
      </w:r>
      <w:r>
        <w:rPr>
          <w:rFonts w:asciiTheme="minorHAnsi" w:hAnsiTheme="minorHAnsi" w:cstheme="minorHAnsi"/>
          <w:szCs w:val="24"/>
        </w:rPr>
        <w:t xml:space="preserve"> </w:t>
      </w:r>
      <w:r w:rsidRPr="00D24C56">
        <w:rPr>
          <w:rFonts w:asciiTheme="minorHAnsi" w:hAnsiTheme="minorHAnsi" w:cstheme="minorHAnsi"/>
          <w:szCs w:val="24"/>
        </w:rPr>
        <w:t>student</w:t>
      </w:r>
      <w:r w:rsidR="001E5FB1">
        <w:rPr>
          <w:rFonts w:asciiTheme="minorHAnsi" w:hAnsiTheme="minorHAnsi" w:cstheme="minorHAnsi"/>
          <w:szCs w:val="24"/>
        </w:rPr>
        <w:t>s</w:t>
      </w:r>
      <w:r w:rsidRPr="00D24C56">
        <w:rPr>
          <w:rFonts w:asciiTheme="minorHAnsi" w:hAnsiTheme="minorHAnsi" w:cstheme="minorHAnsi"/>
          <w:szCs w:val="24"/>
        </w:rPr>
        <w:t xml:space="preserve"> will be expected to choose 6</w:t>
      </w:r>
      <w:r>
        <w:rPr>
          <w:rFonts w:asciiTheme="minorHAnsi" w:hAnsiTheme="minorHAnsi" w:cstheme="minorHAnsi"/>
          <w:szCs w:val="24"/>
        </w:rPr>
        <w:t xml:space="preserve"> to focus</w:t>
      </w:r>
      <w:r w:rsidRPr="00D24C56">
        <w:rPr>
          <w:rFonts w:asciiTheme="minorHAnsi" w:hAnsiTheme="minorHAnsi" w:cstheme="minorHAnsi"/>
          <w:szCs w:val="24"/>
        </w:rPr>
        <w:t xml:space="preserve"> their learning on this module.</w:t>
      </w:r>
    </w:p>
    <w:p w14:paraId="63914010" w14:textId="4E137906" w:rsidR="00D24C56" w:rsidRDefault="00D24C56" w:rsidP="00D24C56">
      <w:pPr>
        <w:spacing w:after="0"/>
        <w:jc w:val="both"/>
        <w:rPr>
          <w:rFonts w:cstheme="minorHAnsi"/>
          <w:sz w:val="24"/>
          <w:szCs w:val="24"/>
        </w:rPr>
      </w:pPr>
      <w:r w:rsidRPr="00D24C56">
        <w:rPr>
          <w:rFonts w:cstheme="minorHAnsi"/>
          <w:sz w:val="24"/>
          <w:szCs w:val="24"/>
        </w:rPr>
        <w:t>Workshops will generally be 3 h in duration giving 36 h contact time across 12 workshops. Each workshop will provide a free-standing opportunity to support le</w:t>
      </w:r>
      <w:r w:rsidR="00F50305">
        <w:rPr>
          <w:rFonts w:cstheme="minorHAnsi"/>
          <w:sz w:val="24"/>
          <w:szCs w:val="24"/>
        </w:rPr>
        <w:t>arning. Postgraduate researchers</w:t>
      </w:r>
      <w:r w:rsidRPr="00D24C56">
        <w:rPr>
          <w:rFonts w:cstheme="minorHAnsi"/>
          <w:sz w:val="24"/>
          <w:szCs w:val="24"/>
        </w:rPr>
        <w:t xml:space="preserve"> need to complete their credit requirements before graduating so it is proposed that they attend the workshops and compl</w:t>
      </w:r>
      <w:r w:rsidR="00A73C0E">
        <w:rPr>
          <w:rFonts w:cstheme="minorHAnsi"/>
          <w:sz w:val="24"/>
          <w:szCs w:val="24"/>
        </w:rPr>
        <w:t>ete this module in any year of study as and when it</w:t>
      </w:r>
      <w:r w:rsidRPr="00D24C56">
        <w:rPr>
          <w:rFonts w:cstheme="minorHAnsi"/>
          <w:sz w:val="24"/>
          <w:szCs w:val="24"/>
        </w:rPr>
        <w:t xml:space="preserve"> complement</w:t>
      </w:r>
      <w:r w:rsidR="00A73C0E">
        <w:rPr>
          <w:rFonts w:cstheme="minorHAnsi"/>
          <w:sz w:val="24"/>
          <w:szCs w:val="24"/>
        </w:rPr>
        <w:t>s</w:t>
      </w:r>
      <w:r w:rsidRPr="00D24C56">
        <w:rPr>
          <w:rFonts w:cstheme="minorHAnsi"/>
          <w:sz w:val="24"/>
          <w:szCs w:val="24"/>
        </w:rPr>
        <w:t xml:space="preserve"> their research. It will be expected tha</w:t>
      </w:r>
      <w:r w:rsidR="002C7603">
        <w:rPr>
          <w:rFonts w:cstheme="minorHAnsi"/>
          <w:sz w:val="24"/>
          <w:szCs w:val="24"/>
        </w:rPr>
        <w:t>t they will ordinarily register on this module in</w:t>
      </w:r>
      <w:r w:rsidRPr="00D24C56">
        <w:rPr>
          <w:rFonts w:cstheme="minorHAnsi"/>
          <w:sz w:val="24"/>
          <w:szCs w:val="24"/>
        </w:rPr>
        <w:t xml:space="preserve"> the first year of study for FT or first 2 years of study for PT</w:t>
      </w:r>
      <w:r w:rsidR="00A73C0E">
        <w:rPr>
          <w:rFonts w:cstheme="minorHAnsi"/>
          <w:sz w:val="24"/>
          <w:szCs w:val="24"/>
        </w:rPr>
        <w:t>, although the module might</w:t>
      </w:r>
      <w:r w:rsidR="002C7603">
        <w:rPr>
          <w:rFonts w:cstheme="minorHAnsi"/>
          <w:sz w:val="24"/>
          <w:szCs w:val="24"/>
        </w:rPr>
        <w:t xml:space="preserve"> not be completed until later on</w:t>
      </w:r>
      <w:r w:rsidRPr="00D24C56">
        <w:rPr>
          <w:rFonts w:cstheme="minorHAnsi"/>
          <w:sz w:val="24"/>
          <w:szCs w:val="24"/>
        </w:rPr>
        <w:t>. Professional Researcher workshops will run ab</w:t>
      </w:r>
      <w:r w:rsidR="00173A59">
        <w:rPr>
          <w:rFonts w:cstheme="minorHAnsi"/>
          <w:sz w:val="24"/>
          <w:szCs w:val="24"/>
        </w:rPr>
        <w:t>out 1 every two months. Researcher</w:t>
      </w:r>
      <w:r w:rsidRPr="00D24C56">
        <w:rPr>
          <w:rFonts w:cstheme="minorHAnsi"/>
          <w:sz w:val="24"/>
          <w:szCs w:val="24"/>
        </w:rPr>
        <w:t xml:space="preserve"> Skills development workshops r</w:t>
      </w:r>
      <w:r>
        <w:rPr>
          <w:rFonts w:cstheme="minorHAnsi"/>
          <w:sz w:val="24"/>
          <w:szCs w:val="24"/>
        </w:rPr>
        <w:t xml:space="preserve">un regularly through the year. </w:t>
      </w:r>
      <w:r w:rsidR="00F9643B">
        <w:rPr>
          <w:rFonts w:cstheme="minorHAnsi"/>
          <w:sz w:val="24"/>
          <w:szCs w:val="24"/>
        </w:rPr>
        <w:t xml:space="preserve">All </w:t>
      </w:r>
      <w:r>
        <w:rPr>
          <w:rFonts w:cstheme="minorHAnsi"/>
          <w:sz w:val="24"/>
          <w:szCs w:val="24"/>
        </w:rPr>
        <w:t xml:space="preserve">Professional Researcher and </w:t>
      </w:r>
      <w:r w:rsidR="00F9643B">
        <w:rPr>
          <w:rFonts w:cstheme="minorHAnsi"/>
          <w:sz w:val="24"/>
          <w:szCs w:val="24"/>
        </w:rPr>
        <w:t>many Researcher</w:t>
      </w:r>
      <w:r>
        <w:rPr>
          <w:rFonts w:cstheme="minorHAnsi"/>
          <w:sz w:val="24"/>
          <w:szCs w:val="24"/>
        </w:rPr>
        <w:t xml:space="preserve"> Skills Developmen</w:t>
      </w:r>
      <w:r w:rsidR="007B5F04">
        <w:rPr>
          <w:rFonts w:cstheme="minorHAnsi"/>
          <w:sz w:val="24"/>
          <w:szCs w:val="24"/>
        </w:rPr>
        <w:t>t workshops will be webcast via Panopto</w:t>
      </w:r>
      <w:r w:rsidR="00F9643B">
        <w:rPr>
          <w:rFonts w:cstheme="minorHAnsi"/>
          <w:sz w:val="24"/>
          <w:szCs w:val="24"/>
        </w:rPr>
        <w:t xml:space="preserve"> – </w:t>
      </w:r>
      <w:r w:rsidR="007B5F04">
        <w:rPr>
          <w:rFonts w:cstheme="minorHAnsi"/>
          <w:sz w:val="24"/>
          <w:szCs w:val="24"/>
        </w:rPr>
        <w:t xml:space="preserve"> </w:t>
      </w:r>
      <w:r w:rsidR="00F9643B">
        <w:rPr>
          <w:rFonts w:cstheme="minorHAnsi"/>
          <w:sz w:val="24"/>
          <w:szCs w:val="24"/>
        </w:rPr>
        <w:t xml:space="preserve">which requires </w:t>
      </w:r>
      <w:r>
        <w:rPr>
          <w:rFonts w:cstheme="minorHAnsi"/>
          <w:sz w:val="24"/>
          <w:szCs w:val="24"/>
        </w:rPr>
        <w:t>an internet connection</w:t>
      </w:r>
      <w:r w:rsidR="00F9643B">
        <w:rPr>
          <w:rFonts w:cstheme="minorHAnsi"/>
          <w:sz w:val="24"/>
          <w:szCs w:val="24"/>
        </w:rPr>
        <w:t xml:space="preserve"> </w:t>
      </w:r>
      <w:r w:rsidR="007B5F04">
        <w:rPr>
          <w:rFonts w:cstheme="minorHAnsi"/>
          <w:sz w:val="24"/>
          <w:szCs w:val="24"/>
        </w:rPr>
        <w:t>to view</w:t>
      </w:r>
      <w:r w:rsidR="0084143B">
        <w:rPr>
          <w:rFonts w:cstheme="minorHAnsi"/>
          <w:sz w:val="24"/>
          <w:szCs w:val="24"/>
        </w:rPr>
        <w:t>,</w:t>
      </w:r>
      <w:r w:rsidR="007B5F04">
        <w:rPr>
          <w:rFonts w:cstheme="minorHAnsi"/>
          <w:sz w:val="24"/>
          <w:szCs w:val="24"/>
        </w:rPr>
        <w:t xml:space="preserve"> </w:t>
      </w:r>
      <w:r w:rsidR="00F9643B">
        <w:rPr>
          <w:rFonts w:cstheme="minorHAnsi"/>
          <w:sz w:val="24"/>
          <w:szCs w:val="24"/>
        </w:rPr>
        <w:t>that is all</w:t>
      </w:r>
      <w:r w:rsidRPr="00D24C56">
        <w:rPr>
          <w:rFonts w:cstheme="minorHAnsi"/>
          <w:sz w:val="24"/>
          <w:szCs w:val="24"/>
        </w:rPr>
        <w:t xml:space="preserve">.   </w:t>
      </w:r>
    </w:p>
    <w:p w14:paraId="5653935B" w14:textId="77777777" w:rsidR="00D24C56" w:rsidRPr="00D24C56" w:rsidRDefault="00D24C56" w:rsidP="00D24C56">
      <w:pPr>
        <w:spacing w:after="0"/>
        <w:jc w:val="both"/>
        <w:rPr>
          <w:rFonts w:cstheme="minorHAnsi"/>
          <w:color w:val="FF0000"/>
          <w:sz w:val="24"/>
          <w:szCs w:val="24"/>
        </w:rPr>
      </w:pPr>
    </w:p>
    <w:tbl>
      <w:tblPr>
        <w:tblStyle w:val="TableGrid"/>
        <w:tblW w:w="0" w:type="auto"/>
        <w:tblInd w:w="284" w:type="dxa"/>
        <w:tblLayout w:type="fixed"/>
        <w:tblLook w:val="04A0" w:firstRow="1" w:lastRow="0" w:firstColumn="1" w:lastColumn="0" w:noHBand="0" w:noVBand="1"/>
      </w:tblPr>
      <w:tblGrid>
        <w:gridCol w:w="3829"/>
        <w:gridCol w:w="3829"/>
      </w:tblGrid>
      <w:tr w:rsidR="00D24C56" w14:paraId="25F88302" w14:textId="77777777" w:rsidTr="001E5FB1">
        <w:tc>
          <w:tcPr>
            <w:tcW w:w="3829" w:type="dxa"/>
          </w:tcPr>
          <w:p w14:paraId="5F48F953" w14:textId="77777777" w:rsidR="00D24C56" w:rsidRDefault="00D24C56" w:rsidP="001E5FB1">
            <w:pPr>
              <w:pStyle w:val="indent2"/>
              <w:tabs>
                <w:tab w:val="clear" w:pos="0"/>
                <w:tab w:val="clear" w:pos="720"/>
              </w:tabs>
              <w:spacing w:after="120"/>
              <w:rPr>
                <w:b/>
                <w:i/>
                <w:sz w:val="20"/>
              </w:rPr>
            </w:pPr>
            <w:r w:rsidRPr="004A78AA">
              <w:rPr>
                <w:b/>
                <w:i/>
                <w:sz w:val="20"/>
              </w:rPr>
              <w:t>Professional Researcher</w:t>
            </w:r>
          </w:p>
          <w:p w14:paraId="0D91DB3E" w14:textId="77777777" w:rsidR="00D24C56" w:rsidRPr="002326DB" w:rsidRDefault="00D24C56" w:rsidP="001E5FB1">
            <w:pPr>
              <w:pStyle w:val="indent2"/>
              <w:tabs>
                <w:tab w:val="clear" w:pos="0"/>
                <w:tab w:val="clear" w:pos="720"/>
              </w:tabs>
              <w:spacing w:after="120"/>
              <w:rPr>
                <w:i/>
                <w:sz w:val="20"/>
              </w:rPr>
            </w:pPr>
            <w:r w:rsidRPr="002326DB">
              <w:rPr>
                <w:i/>
                <w:sz w:val="20"/>
              </w:rPr>
              <w:t>(workshops)</w:t>
            </w:r>
          </w:p>
        </w:tc>
        <w:tc>
          <w:tcPr>
            <w:tcW w:w="3829" w:type="dxa"/>
          </w:tcPr>
          <w:p w14:paraId="2F949731" w14:textId="77777777" w:rsidR="00D24C56" w:rsidRPr="004A78AA" w:rsidRDefault="00173A59" w:rsidP="001E5FB1">
            <w:pPr>
              <w:pStyle w:val="indent2"/>
              <w:tabs>
                <w:tab w:val="clear" w:pos="0"/>
                <w:tab w:val="clear" w:pos="720"/>
              </w:tabs>
              <w:spacing w:after="120"/>
              <w:rPr>
                <w:b/>
                <w:i/>
                <w:sz w:val="20"/>
              </w:rPr>
            </w:pPr>
            <w:r>
              <w:rPr>
                <w:b/>
                <w:i/>
                <w:sz w:val="20"/>
              </w:rPr>
              <w:t xml:space="preserve">Researcher </w:t>
            </w:r>
            <w:r w:rsidR="00D24C56" w:rsidRPr="004A78AA">
              <w:rPr>
                <w:b/>
                <w:i/>
                <w:sz w:val="20"/>
              </w:rPr>
              <w:t>Skills Development</w:t>
            </w:r>
          </w:p>
          <w:p w14:paraId="7278F915" w14:textId="77777777" w:rsidR="00D24C56" w:rsidRPr="004A1284" w:rsidRDefault="00D24C56" w:rsidP="001E5FB1">
            <w:pPr>
              <w:pStyle w:val="indent2"/>
              <w:tabs>
                <w:tab w:val="clear" w:pos="0"/>
                <w:tab w:val="clear" w:pos="720"/>
              </w:tabs>
              <w:spacing w:after="120"/>
              <w:rPr>
                <w:i/>
                <w:color w:val="FF0000"/>
                <w:sz w:val="20"/>
              </w:rPr>
            </w:pPr>
            <w:r w:rsidRPr="004A78AA">
              <w:rPr>
                <w:b/>
                <w:i/>
                <w:sz w:val="20"/>
              </w:rPr>
              <w:t>(</w:t>
            </w:r>
            <w:r w:rsidRPr="004A78AA">
              <w:rPr>
                <w:i/>
                <w:sz w:val="20"/>
              </w:rPr>
              <w:t>example workshops</w:t>
            </w:r>
            <w:r w:rsidRPr="004A78AA">
              <w:rPr>
                <w:b/>
                <w:i/>
                <w:sz w:val="20"/>
              </w:rPr>
              <w:t>)</w:t>
            </w:r>
          </w:p>
        </w:tc>
      </w:tr>
      <w:tr w:rsidR="00D24C56" w14:paraId="4AB72F62" w14:textId="77777777" w:rsidTr="001E5FB1">
        <w:tc>
          <w:tcPr>
            <w:tcW w:w="3829" w:type="dxa"/>
          </w:tcPr>
          <w:p w14:paraId="49C69840" w14:textId="77777777" w:rsidR="00D24C56" w:rsidRDefault="00D24C56" w:rsidP="001E5FB1">
            <w:pPr>
              <w:pStyle w:val="indent2"/>
              <w:tabs>
                <w:tab w:val="clear" w:pos="720"/>
              </w:tabs>
              <w:spacing w:after="120"/>
              <w:ind w:left="641"/>
              <w:rPr>
                <w:sz w:val="20"/>
              </w:rPr>
            </w:pPr>
          </w:p>
          <w:p w14:paraId="62CBB5C0" w14:textId="77777777" w:rsidR="00D24C56" w:rsidRPr="00E04BBE" w:rsidRDefault="00173A59" w:rsidP="00D24C56">
            <w:pPr>
              <w:pStyle w:val="indent2"/>
              <w:numPr>
                <w:ilvl w:val="0"/>
                <w:numId w:val="3"/>
              </w:numPr>
              <w:spacing w:after="120"/>
              <w:ind w:left="641" w:hanging="357"/>
              <w:rPr>
                <w:sz w:val="20"/>
              </w:rPr>
            </w:pPr>
            <w:r>
              <w:rPr>
                <w:sz w:val="20"/>
              </w:rPr>
              <w:t>What’s a Doctorate?</w:t>
            </w:r>
          </w:p>
          <w:p w14:paraId="2B373275" w14:textId="77777777" w:rsidR="00D24C56" w:rsidRPr="00DD67F7" w:rsidRDefault="00D24C56" w:rsidP="00D24C56">
            <w:pPr>
              <w:pStyle w:val="indent2"/>
              <w:numPr>
                <w:ilvl w:val="0"/>
                <w:numId w:val="3"/>
              </w:numPr>
              <w:spacing w:after="120"/>
              <w:ind w:left="641" w:hanging="357"/>
              <w:rPr>
                <w:sz w:val="20"/>
              </w:rPr>
            </w:pPr>
            <w:r>
              <w:rPr>
                <w:sz w:val="20"/>
              </w:rPr>
              <w:t xml:space="preserve">Epistemology &amp; Research I </w:t>
            </w:r>
          </w:p>
          <w:p w14:paraId="7F977350" w14:textId="77777777" w:rsidR="00D24C56" w:rsidRDefault="00173A59" w:rsidP="00D24C56">
            <w:pPr>
              <w:pStyle w:val="indent2"/>
              <w:numPr>
                <w:ilvl w:val="0"/>
                <w:numId w:val="3"/>
              </w:numPr>
              <w:spacing w:after="120"/>
              <w:ind w:left="641" w:hanging="357"/>
              <w:rPr>
                <w:sz w:val="20"/>
              </w:rPr>
            </w:pPr>
            <w:r>
              <w:rPr>
                <w:sz w:val="20"/>
              </w:rPr>
              <w:t>Epistemology &amp; Research II</w:t>
            </w:r>
          </w:p>
          <w:p w14:paraId="61A220E2" w14:textId="23D47504" w:rsidR="00932938" w:rsidRPr="00E04BBE" w:rsidRDefault="00932938" w:rsidP="00D24C56">
            <w:pPr>
              <w:pStyle w:val="indent2"/>
              <w:numPr>
                <w:ilvl w:val="0"/>
                <w:numId w:val="3"/>
              </w:numPr>
              <w:spacing w:after="120"/>
              <w:ind w:left="641" w:hanging="357"/>
              <w:rPr>
                <w:sz w:val="20"/>
              </w:rPr>
            </w:pPr>
            <w:r>
              <w:rPr>
                <w:sz w:val="20"/>
              </w:rPr>
              <w:t>Governance &amp; Impact</w:t>
            </w:r>
          </w:p>
          <w:p w14:paraId="702FC8D5" w14:textId="77777777" w:rsidR="00D24C56" w:rsidRPr="00E04BBE" w:rsidRDefault="00173A59" w:rsidP="00D24C56">
            <w:pPr>
              <w:pStyle w:val="indent2"/>
              <w:numPr>
                <w:ilvl w:val="0"/>
                <w:numId w:val="3"/>
              </w:numPr>
              <w:spacing w:after="120"/>
              <w:ind w:left="641" w:hanging="357"/>
              <w:rPr>
                <w:sz w:val="20"/>
              </w:rPr>
            </w:pPr>
            <w:r>
              <w:rPr>
                <w:sz w:val="20"/>
              </w:rPr>
              <w:t xml:space="preserve">Public Engagement </w:t>
            </w:r>
            <w:r w:rsidR="00D24C56">
              <w:rPr>
                <w:sz w:val="20"/>
              </w:rPr>
              <w:t>&amp; Research</w:t>
            </w:r>
          </w:p>
          <w:p w14:paraId="74388E7C" w14:textId="77777777" w:rsidR="00D24C56" w:rsidRPr="002C7603" w:rsidRDefault="00E76B83" w:rsidP="002C7603">
            <w:pPr>
              <w:pStyle w:val="indent2"/>
              <w:numPr>
                <w:ilvl w:val="0"/>
                <w:numId w:val="3"/>
              </w:numPr>
              <w:spacing w:after="120"/>
              <w:ind w:left="641" w:hanging="357"/>
              <w:rPr>
                <w:sz w:val="20"/>
              </w:rPr>
            </w:pPr>
            <w:r>
              <w:rPr>
                <w:sz w:val="20"/>
              </w:rPr>
              <w:t>Transdisciplinarity in Research</w:t>
            </w:r>
          </w:p>
          <w:p w14:paraId="38BF15AC" w14:textId="77777777" w:rsidR="00D24C56" w:rsidRDefault="00D24C56" w:rsidP="001E5FB1">
            <w:pPr>
              <w:pStyle w:val="indent2"/>
              <w:tabs>
                <w:tab w:val="clear" w:pos="0"/>
                <w:tab w:val="clear" w:pos="720"/>
              </w:tabs>
              <w:spacing w:after="120"/>
              <w:rPr>
                <w:color w:val="FF0000"/>
                <w:sz w:val="20"/>
              </w:rPr>
            </w:pPr>
          </w:p>
        </w:tc>
        <w:tc>
          <w:tcPr>
            <w:tcW w:w="3829" w:type="dxa"/>
          </w:tcPr>
          <w:p w14:paraId="15AF2D3F" w14:textId="77777777" w:rsidR="00D24C56" w:rsidRPr="004A1284" w:rsidRDefault="00D24C56" w:rsidP="001E5FB1">
            <w:pPr>
              <w:pStyle w:val="indent2"/>
              <w:tabs>
                <w:tab w:val="clear" w:pos="720"/>
              </w:tabs>
              <w:spacing w:after="120"/>
              <w:ind w:left="720"/>
              <w:rPr>
                <w:sz w:val="20"/>
              </w:rPr>
            </w:pPr>
          </w:p>
          <w:p w14:paraId="7C67817B" w14:textId="77777777" w:rsidR="00D24C56" w:rsidRPr="004A1284" w:rsidRDefault="00D24C56" w:rsidP="00D24C56">
            <w:pPr>
              <w:pStyle w:val="indent2"/>
              <w:numPr>
                <w:ilvl w:val="0"/>
                <w:numId w:val="4"/>
              </w:numPr>
              <w:spacing w:after="120"/>
              <w:rPr>
                <w:sz w:val="20"/>
              </w:rPr>
            </w:pPr>
            <w:r>
              <w:rPr>
                <w:sz w:val="20"/>
              </w:rPr>
              <w:t xml:space="preserve">Art &amp; Sci of Communication </w:t>
            </w:r>
          </w:p>
          <w:p w14:paraId="29DF4359" w14:textId="77777777" w:rsidR="00D24C56" w:rsidRPr="004A1284" w:rsidRDefault="00D24C56" w:rsidP="00D24C56">
            <w:pPr>
              <w:pStyle w:val="indent2"/>
              <w:numPr>
                <w:ilvl w:val="0"/>
                <w:numId w:val="4"/>
              </w:numPr>
              <w:spacing w:after="120"/>
              <w:rPr>
                <w:sz w:val="20"/>
              </w:rPr>
            </w:pPr>
            <w:r>
              <w:rPr>
                <w:sz w:val="20"/>
              </w:rPr>
              <w:t xml:space="preserve">Digital Media </w:t>
            </w:r>
          </w:p>
          <w:p w14:paraId="752763F4" w14:textId="77777777" w:rsidR="00D24C56" w:rsidRPr="004A1284" w:rsidRDefault="00D24C56" w:rsidP="00D24C56">
            <w:pPr>
              <w:pStyle w:val="indent2"/>
              <w:numPr>
                <w:ilvl w:val="0"/>
                <w:numId w:val="4"/>
              </w:numPr>
              <w:spacing w:after="120"/>
              <w:rPr>
                <w:sz w:val="20"/>
              </w:rPr>
            </w:pPr>
            <w:r>
              <w:rPr>
                <w:sz w:val="20"/>
              </w:rPr>
              <w:t>Academic Publishing</w:t>
            </w:r>
          </w:p>
          <w:p w14:paraId="03327172" w14:textId="77777777" w:rsidR="00D24C56" w:rsidRPr="004A1284" w:rsidRDefault="00D24C56" w:rsidP="00D24C56">
            <w:pPr>
              <w:pStyle w:val="indent2"/>
              <w:numPr>
                <w:ilvl w:val="0"/>
                <w:numId w:val="4"/>
              </w:numPr>
              <w:spacing w:after="120"/>
              <w:rPr>
                <w:sz w:val="20"/>
              </w:rPr>
            </w:pPr>
            <w:r>
              <w:rPr>
                <w:sz w:val="20"/>
              </w:rPr>
              <w:t xml:space="preserve">Project Management </w:t>
            </w:r>
          </w:p>
          <w:p w14:paraId="4136C1CF" w14:textId="77777777" w:rsidR="00D24C56" w:rsidRPr="00DD67F7" w:rsidRDefault="00D24C56" w:rsidP="00D24C56">
            <w:pPr>
              <w:pStyle w:val="indent2"/>
              <w:numPr>
                <w:ilvl w:val="0"/>
                <w:numId w:val="4"/>
              </w:numPr>
              <w:spacing w:after="120"/>
              <w:rPr>
                <w:sz w:val="20"/>
              </w:rPr>
            </w:pPr>
            <w:r w:rsidRPr="004A1284">
              <w:rPr>
                <w:sz w:val="20"/>
              </w:rPr>
              <w:t>How to Win Funds</w:t>
            </w:r>
          </w:p>
          <w:p w14:paraId="6CB60029" w14:textId="77777777" w:rsidR="00D24C56" w:rsidRPr="004A1284" w:rsidRDefault="00D24C56" w:rsidP="00D24C56">
            <w:pPr>
              <w:pStyle w:val="indent2"/>
              <w:numPr>
                <w:ilvl w:val="0"/>
                <w:numId w:val="4"/>
              </w:numPr>
              <w:spacing w:after="120"/>
              <w:rPr>
                <w:sz w:val="20"/>
              </w:rPr>
            </w:pPr>
            <w:r w:rsidRPr="004A1284">
              <w:rPr>
                <w:sz w:val="20"/>
              </w:rPr>
              <w:t>Social Enterprise</w:t>
            </w:r>
          </w:p>
          <w:p w14:paraId="1D310D32" w14:textId="77777777" w:rsidR="00D24C56" w:rsidRPr="004A1284" w:rsidRDefault="00D24C56" w:rsidP="001E5FB1">
            <w:pPr>
              <w:pStyle w:val="indent2"/>
              <w:spacing w:after="120"/>
              <w:ind w:left="360"/>
              <w:rPr>
                <w:sz w:val="20"/>
              </w:rPr>
            </w:pPr>
          </w:p>
          <w:p w14:paraId="7DD40B01" w14:textId="77777777" w:rsidR="00D24C56" w:rsidRDefault="00D24C56" w:rsidP="001E5FB1">
            <w:pPr>
              <w:pStyle w:val="indent2"/>
              <w:tabs>
                <w:tab w:val="clear" w:pos="0"/>
                <w:tab w:val="clear" w:pos="720"/>
              </w:tabs>
              <w:spacing w:after="120"/>
              <w:rPr>
                <w:color w:val="FF0000"/>
                <w:sz w:val="20"/>
              </w:rPr>
            </w:pPr>
          </w:p>
        </w:tc>
      </w:tr>
    </w:tbl>
    <w:p w14:paraId="70A18C8E" w14:textId="77777777" w:rsidR="00D24C56" w:rsidRDefault="00D24C56" w:rsidP="00D24C56">
      <w:pPr>
        <w:jc w:val="center"/>
        <w:rPr>
          <w:sz w:val="24"/>
          <w:szCs w:val="24"/>
        </w:rPr>
      </w:pPr>
    </w:p>
    <w:p w14:paraId="009A0825" w14:textId="78472F4E" w:rsidR="007B5F04" w:rsidRDefault="007B5F04">
      <w:pPr>
        <w:rPr>
          <w:sz w:val="24"/>
          <w:szCs w:val="24"/>
        </w:rPr>
      </w:pPr>
      <w:r>
        <w:rPr>
          <w:sz w:val="24"/>
          <w:szCs w:val="24"/>
        </w:rPr>
        <w:br w:type="page"/>
      </w:r>
    </w:p>
    <w:p w14:paraId="30371DED" w14:textId="77777777" w:rsidR="00173A59" w:rsidRPr="00D24C56" w:rsidRDefault="00173A59" w:rsidP="00173A59">
      <w:pPr>
        <w:rPr>
          <w:b/>
          <w:sz w:val="28"/>
          <w:szCs w:val="28"/>
        </w:rPr>
      </w:pPr>
      <w:r>
        <w:rPr>
          <w:b/>
          <w:sz w:val="28"/>
          <w:szCs w:val="28"/>
        </w:rPr>
        <w:lastRenderedPageBreak/>
        <w:t>Registration and Timetable</w:t>
      </w:r>
    </w:p>
    <w:p w14:paraId="4D83E690" w14:textId="57147DC9" w:rsidR="00173A59" w:rsidRDefault="00F9643B" w:rsidP="00173A59">
      <w:pPr>
        <w:pStyle w:val="indent2"/>
        <w:tabs>
          <w:tab w:val="clear" w:pos="0"/>
        </w:tabs>
        <w:rPr>
          <w:rFonts w:asciiTheme="minorHAnsi" w:hAnsiTheme="minorHAnsi" w:cstheme="minorHAnsi"/>
          <w:szCs w:val="24"/>
        </w:rPr>
      </w:pPr>
      <w:r>
        <w:rPr>
          <w:rFonts w:asciiTheme="minorHAnsi" w:hAnsiTheme="minorHAnsi" w:cstheme="minorHAnsi"/>
          <w:szCs w:val="24"/>
        </w:rPr>
        <w:t xml:space="preserve">The module run </w:t>
      </w:r>
      <w:r w:rsidR="0084143B">
        <w:rPr>
          <w:rFonts w:asciiTheme="minorHAnsi" w:hAnsiTheme="minorHAnsi" w:cstheme="minorHAnsi"/>
          <w:szCs w:val="24"/>
        </w:rPr>
        <w:t xml:space="preserve">for 2017 will start in </w:t>
      </w:r>
      <w:r w:rsidR="007B5F04">
        <w:rPr>
          <w:rFonts w:asciiTheme="minorHAnsi" w:hAnsiTheme="minorHAnsi" w:cstheme="minorHAnsi"/>
          <w:szCs w:val="24"/>
        </w:rPr>
        <w:t>October</w:t>
      </w:r>
      <w:r>
        <w:rPr>
          <w:rFonts w:asciiTheme="minorHAnsi" w:hAnsiTheme="minorHAnsi" w:cstheme="minorHAnsi"/>
          <w:szCs w:val="24"/>
        </w:rPr>
        <w:t xml:space="preserve"> via</w:t>
      </w:r>
      <w:r w:rsidR="00173A59">
        <w:rPr>
          <w:rFonts w:asciiTheme="minorHAnsi" w:hAnsiTheme="minorHAnsi" w:cstheme="minorHAnsi"/>
          <w:szCs w:val="24"/>
        </w:rPr>
        <w:t xml:space="preserve"> registration through the GS</w:t>
      </w:r>
      <w:r w:rsidR="0065631E">
        <w:rPr>
          <w:rFonts w:asciiTheme="minorHAnsi" w:hAnsiTheme="minorHAnsi" w:cstheme="minorHAnsi"/>
          <w:szCs w:val="24"/>
        </w:rPr>
        <w:t xml:space="preserve"> office</w:t>
      </w:r>
      <w:r w:rsidR="00173A59">
        <w:rPr>
          <w:rFonts w:asciiTheme="minorHAnsi" w:hAnsiTheme="minorHAnsi" w:cstheme="minorHAnsi"/>
          <w:szCs w:val="24"/>
        </w:rPr>
        <w:t xml:space="preserve">. </w:t>
      </w:r>
      <w:r w:rsidR="002C7603">
        <w:rPr>
          <w:rFonts w:asciiTheme="minorHAnsi" w:hAnsiTheme="minorHAnsi" w:cstheme="minorHAnsi"/>
          <w:szCs w:val="24"/>
        </w:rPr>
        <w:t>Students can register on</w:t>
      </w:r>
      <w:r w:rsidR="00173A59">
        <w:rPr>
          <w:rFonts w:asciiTheme="minorHAnsi" w:hAnsiTheme="minorHAnsi" w:cstheme="minorHAnsi"/>
          <w:szCs w:val="24"/>
        </w:rPr>
        <w:t xml:space="preserve"> this module in any year of their doctorate</w:t>
      </w:r>
      <w:r w:rsidR="00A73C0E">
        <w:rPr>
          <w:rFonts w:asciiTheme="minorHAnsi" w:hAnsiTheme="minorHAnsi" w:cstheme="minorHAnsi"/>
          <w:szCs w:val="24"/>
        </w:rPr>
        <w:t xml:space="preserve"> and if they register early will have a module run of up to 3 years</w:t>
      </w:r>
      <w:r w:rsidR="00173A59">
        <w:rPr>
          <w:rFonts w:asciiTheme="minorHAnsi" w:hAnsiTheme="minorHAnsi" w:cstheme="minorHAnsi"/>
          <w:szCs w:val="24"/>
        </w:rPr>
        <w:t>.</w:t>
      </w:r>
    </w:p>
    <w:p w14:paraId="58310302" w14:textId="77777777" w:rsidR="002C7603" w:rsidRDefault="002C7603" w:rsidP="00173A59">
      <w:pPr>
        <w:pStyle w:val="indent2"/>
        <w:tabs>
          <w:tab w:val="clear" w:pos="0"/>
        </w:tabs>
        <w:rPr>
          <w:rFonts w:asciiTheme="minorHAnsi" w:hAnsiTheme="minorHAnsi" w:cstheme="minorHAnsi"/>
          <w:szCs w:val="24"/>
        </w:rPr>
      </w:pPr>
    </w:p>
    <w:p w14:paraId="0E6DA67C" w14:textId="27F9F4DF" w:rsidR="00000EB6" w:rsidRDefault="0084143B" w:rsidP="00173A59">
      <w:pPr>
        <w:pStyle w:val="indent2"/>
        <w:tabs>
          <w:tab w:val="clear" w:pos="0"/>
        </w:tabs>
        <w:rPr>
          <w:rFonts w:asciiTheme="minorHAnsi" w:hAnsiTheme="minorHAnsi" w:cstheme="minorHAnsi"/>
          <w:szCs w:val="24"/>
        </w:rPr>
      </w:pPr>
      <w:r>
        <w:rPr>
          <w:rFonts w:asciiTheme="minorHAnsi" w:hAnsiTheme="minorHAnsi" w:cstheme="minorHAnsi"/>
          <w:szCs w:val="24"/>
        </w:rPr>
        <w:t>For 2017-2018</w:t>
      </w:r>
      <w:r w:rsidR="00F9643B">
        <w:rPr>
          <w:rFonts w:asciiTheme="minorHAnsi" w:hAnsiTheme="minorHAnsi" w:cstheme="minorHAnsi"/>
          <w:szCs w:val="24"/>
        </w:rPr>
        <w:t>,</w:t>
      </w:r>
      <w:r w:rsidR="00000EB6">
        <w:rPr>
          <w:rFonts w:asciiTheme="minorHAnsi" w:hAnsiTheme="minorHAnsi" w:cstheme="minorHAnsi"/>
          <w:szCs w:val="24"/>
        </w:rPr>
        <w:t xml:space="preserve"> the details</w:t>
      </w:r>
      <w:r w:rsidR="00173A59">
        <w:rPr>
          <w:rFonts w:asciiTheme="minorHAnsi" w:hAnsiTheme="minorHAnsi" w:cstheme="minorHAnsi"/>
          <w:szCs w:val="24"/>
        </w:rPr>
        <w:t xml:space="preserve"> </w:t>
      </w:r>
      <w:r w:rsidR="002C7603">
        <w:rPr>
          <w:rFonts w:asciiTheme="minorHAnsi" w:hAnsiTheme="minorHAnsi" w:cstheme="minorHAnsi"/>
          <w:szCs w:val="24"/>
        </w:rPr>
        <w:t>of all the Researcher</w:t>
      </w:r>
      <w:r w:rsidR="00173A59">
        <w:rPr>
          <w:rFonts w:asciiTheme="minorHAnsi" w:hAnsiTheme="minorHAnsi" w:cstheme="minorHAnsi"/>
          <w:szCs w:val="24"/>
        </w:rPr>
        <w:t xml:space="preserve"> Skills Development workshops are available</w:t>
      </w:r>
      <w:r w:rsidR="00000EB6">
        <w:rPr>
          <w:rFonts w:asciiTheme="minorHAnsi" w:hAnsiTheme="minorHAnsi" w:cstheme="minorHAnsi"/>
          <w:szCs w:val="24"/>
        </w:rPr>
        <w:t xml:space="preserve"> on the Graduate School </w:t>
      </w:r>
      <w:hyperlink r:id="rId13" w:history="1">
        <w:r w:rsidR="00000EB6" w:rsidRPr="00000EB6">
          <w:rPr>
            <w:rStyle w:val="Hyperlink"/>
            <w:rFonts w:asciiTheme="minorHAnsi" w:hAnsiTheme="minorHAnsi" w:cstheme="minorHAnsi"/>
            <w:szCs w:val="24"/>
          </w:rPr>
          <w:t>Skills Development</w:t>
        </w:r>
      </w:hyperlink>
      <w:r w:rsidR="00000EB6">
        <w:rPr>
          <w:rFonts w:asciiTheme="minorHAnsi" w:hAnsiTheme="minorHAnsi" w:cstheme="minorHAnsi"/>
          <w:szCs w:val="24"/>
        </w:rPr>
        <w:t xml:space="preserve">  webpages. All the University’s research workshops are also available to you and details are available via the UWE Events listing under ‘</w:t>
      </w:r>
      <w:hyperlink r:id="rId14" w:history="1">
        <w:r w:rsidR="00000EB6" w:rsidRPr="00A73C0E">
          <w:rPr>
            <w:rStyle w:val="Hyperlink"/>
            <w:rFonts w:asciiTheme="minorHAnsi" w:hAnsiTheme="minorHAnsi" w:cstheme="minorHAnsi"/>
            <w:szCs w:val="24"/>
          </w:rPr>
          <w:t>research</w:t>
        </w:r>
      </w:hyperlink>
      <w:r w:rsidR="00000EB6">
        <w:rPr>
          <w:rFonts w:asciiTheme="minorHAnsi" w:hAnsiTheme="minorHAnsi" w:cstheme="minorHAnsi"/>
          <w:szCs w:val="24"/>
        </w:rPr>
        <w:t>’, these include the</w:t>
      </w:r>
      <w:r w:rsidR="00A73C0E">
        <w:rPr>
          <w:rFonts w:asciiTheme="minorHAnsi" w:hAnsiTheme="minorHAnsi" w:cstheme="minorHAnsi"/>
          <w:szCs w:val="24"/>
        </w:rPr>
        <w:t xml:space="preserve"> workshops aimed at</w:t>
      </w:r>
      <w:r w:rsidR="00000EB6">
        <w:rPr>
          <w:rFonts w:asciiTheme="minorHAnsi" w:hAnsiTheme="minorHAnsi" w:cstheme="minorHAnsi"/>
          <w:szCs w:val="24"/>
        </w:rPr>
        <w:t xml:space="preserve"> research degree candidates plus </w:t>
      </w:r>
      <w:r w:rsidR="00A73C0E">
        <w:rPr>
          <w:rFonts w:asciiTheme="minorHAnsi" w:hAnsiTheme="minorHAnsi" w:cstheme="minorHAnsi"/>
          <w:szCs w:val="24"/>
        </w:rPr>
        <w:t>many aimed at researchers at UWE – as a research degree candidate you can attend any of them and use any of them to contribute to this module.</w:t>
      </w:r>
      <w:r w:rsidR="00000EB6">
        <w:rPr>
          <w:rFonts w:asciiTheme="minorHAnsi" w:hAnsiTheme="minorHAnsi" w:cstheme="minorHAnsi"/>
          <w:szCs w:val="24"/>
        </w:rPr>
        <w:t xml:space="preserve">  These workshop programmes</w:t>
      </w:r>
      <w:r w:rsidR="008F4278">
        <w:rPr>
          <w:rFonts w:asciiTheme="minorHAnsi" w:hAnsiTheme="minorHAnsi" w:cstheme="minorHAnsi"/>
          <w:szCs w:val="24"/>
        </w:rPr>
        <w:t xml:space="preserve"> and the ones listed below</w:t>
      </w:r>
      <w:r w:rsidR="00000EB6">
        <w:rPr>
          <w:rFonts w:asciiTheme="minorHAnsi" w:hAnsiTheme="minorHAnsi" w:cstheme="minorHAnsi"/>
          <w:szCs w:val="24"/>
        </w:rPr>
        <w:t xml:space="preserve"> run, in a fairly similar form, every year </w:t>
      </w:r>
      <w:r>
        <w:rPr>
          <w:rFonts w:asciiTheme="minorHAnsi" w:hAnsiTheme="minorHAnsi" w:cstheme="minorHAnsi"/>
          <w:szCs w:val="24"/>
        </w:rPr>
        <w:t>so you can access them at a time</w:t>
      </w:r>
      <w:r w:rsidR="008F4278">
        <w:rPr>
          <w:rFonts w:asciiTheme="minorHAnsi" w:hAnsiTheme="minorHAnsi" w:cstheme="minorHAnsi"/>
          <w:szCs w:val="24"/>
        </w:rPr>
        <w:t xml:space="preserve"> appropriate for your studies.</w:t>
      </w:r>
    </w:p>
    <w:p w14:paraId="39CDFBA2" w14:textId="77777777" w:rsidR="00000EB6" w:rsidRDefault="00000EB6" w:rsidP="00173A59">
      <w:pPr>
        <w:pStyle w:val="indent2"/>
        <w:tabs>
          <w:tab w:val="clear" w:pos="0"/>
        </w:tabs>
        <w:rPr>
          <w:rFonts w:asciiTheme="minorHAnsi" w:hAnsiTheme="minorHAnsi" w:cstheme="minorHAnsi"/>
          <w:szCs w:val="24"/>
        </w:rPr>
      </w:pPr>
    </w:p>
    <w:p w14:paraId="6B4D3A0B" w14:textId="1956ABE7" w:rsidR="00173A59" w:rsidRDefault="002C7603" w:rsidP="00173A59">
      <w:pPr>
        <w:pStyle w:val="indent2"/>
        <w:tabs>
          <w:tab w:val="clear" w:pos="0"/>
        </w:tabs>
        <w:rPr>
          <w:rFonts w:asciiTheme="minorHAnsi" w:hAnsiTheme="minorHAnsi" w:cstheme="minorHAnsi"/>
          <w:szCs w:val="24"/>
        </w:rPr>
      </w:pPr>
      <w:r>
        <w:rPr>
          <w:rFonts w:asciiTheme="minorHAnsi" w:hAnsiTheme="minorHAnsi" w:cstheme="minorHAnsi"/>
          <w:szCs w:val="24"/>
        </w:rPr>
        <w:t>For the Professional</w:t>
      </w:r>
      <w:r w:rsidR="00000EB6">
        <w:rPr>
          <w:rFonts w:asciiTheme="minorHAnsi" w:hAnsiTheme="minorHAnsi" w:cstheme="minorHAnsi"/>
          <w:szCs w:val="24"/>
        </w:rPr>
        <w:t xml:space="preserve"> Researcher workshops the dates</w:t>
      </w:r>
      <w:r w:rsidR="00932938">
        <w:rPr>
          <w:rFonts w:asciiTheme="minorHAnsi" w:hAnsiTheme="minorHAnsi" w:cstheme="minorHAnsi"/>
          <w:szCs w:val="24"/>
        </w:rPr>
        <w:t xml:space="preserve"> </w:t>
      </w:r>
      <w:r>
        <w:rPr>
          <w:rFonts w:asciiTheme="minorHAnsi" w:hAnsiTheme="minorHAnsi" w:cstheme="minorHAnsi"/>
          <w:szCs w:val="24"/>
        </w:rPr>
        <w:t>are as follows:</w:t>
      </w:r>
    </w:p>
    <w:p w14:paraId="0CB89B6E" w14:textId="77777777" w:rsidR="002C7603" w:rsidRDefault="002C7603" w:rsidP="00173A59">
      <w:pPr>
        <w:pStyle w:val="indent2"/>
        <w:tabs>
          <w:tab w:val="clear" w:pos="0"/>
        </w:tabs>
        <w:rPr>
          <w:rFonts w:asciiTheme="minorHAnsi" w:hAnsiTheme="minorHAnsi" w:cstheme="minorHAnsi"/>
          <w:szCs w:val="24"/>
        </w:rPr>
      </w:pPr>
    </w:p>
    <w:p w14:paraId="212F7FF0" w14:textId="10436487" w:rsidR="002C7603" w:rsidRDefault="00932938" w:rsidP="002C7603">
      <w:r w:rsidRPr="00932938">
        <w:rPr>
          <w:color w:val="000000" w:themeColor="text1"/>
        </w:rPr>
        <w:t xml:space="preserve">Weds </w:t>
      </w:r>
      <w:r w:rsidR="00C35548">
        <w:rPr>
          <w:color w:val="000000" w:themeColor="text1"/>
        </w:rPr>
        <w:t>1st</w:t>
      </w:r>
      <w:r w:rsidRPr="00932938">
        <w:rPr>
          <w:color w:val="000000" w:themeColor="text1"/>
        </w:rPr>
        <w:t xml:space="preserve"> Nov</w:t>
      </w:r>
      <w:r w:rsidR="002C7603" w:rsidRPr="00932938">
        <w:rPr>
          <w:color w:val="000000" w:themeColor="text1"/>
        </w:rPr>
        <w:t xml:space="preserve"> </w:t>
      </w:r>
      <w:r w:rsidR="00C35548">
        <w:rPr>
          <w:color w:val="000000" w:themeColor="text1"/>
        </w:rPr>
        <w:t>2017</w:t>
      </w:r>
      <w:r w:rsidRPr="00932938">
        <w:rPr>
          <w:color w:val="000000" w:themeColor="text1"/>
        </w:rPr>
        <w:t xml:space="preserve"> </w:t>
      </w:r>
      <w:r w:rsidR="002C7603">
        <w:t>- What’s a Doctorate?</w:t>
      </w:r>
      <w:r w:rsidR="00C35548">
        <w:t xml:space="preserve"> 2S604</w:t>
      </w:r>
    </w:p>
    <w:p w14:paraId="06200612" w14:textId="0FC4EB07" w:rsidR="00932938" w:rsidRDefault="00932938" w:rsidP="002C7603">
      <w:r w:rsidRPr="00932938">
        <w:rPr>
          <w:color w:val="000000" w:themeColor="text1"/>
        </w:rPr>
        <w:t xml:space="preserve">Weds </w:t>
      </w:r>
      <w:r w:rsidR="00C35548">
        <w:rPr>
          <w:color w:val="000000" w:themeColor="text1"/>
        </w:rPr>
        <w:t>6</w:t>
      </w:r>
      <w:r w:rsidRPr="00932938">
        <w:rPr>
          <w:color w:val="000000" w:themeColor="text1"/>
          <w:vertAlign w:val="superscript"/>
        </w:rPr>
        <w:t>th</w:t>
      </w:r>
      <w:r w:rsidR="00C35548">
        <w:rPr>
          <w:color w:val="000000" w:themeColor="text1"/>
        </w:rPr>
        <w:t xml:space="preserve"> Dec 2017</w:t>
      </w:r>
      <w:r w:rsidRPr="00932938">
        <w:rPr>
          <w:color w:val="000000" w:themeColor="text1"/>
        </w:rPr>
        <w:t xml:space="preserve"> </w:t>
      </w:r>
      <w:r w:rsidR="000A77AA" w:rsidRPr="00932938">
        <w:rPr>
          <w:color w:val="000000" w:themeColor="text1"/>
        </w:rPr>
        <w:t xml:space="preserve"> </w:t>
      </w:r>
      <w:r w:rsidR="002C7603">
        <w:t xml:space="preserve">– </w:t>
      </w:r>
      <w:r>
        <w:t>Epistemology I</w:t>
      </w:r>
      <w:r w:rsidR="00C35548">
        <w:t>.  2S604</w:t>
      </w:r>
    </w:p>
    <w:p w14:paraId="1787C8A1" w14:textId="04B3E9BC" w:rsidR="002C7603" w:rsidRDefault="00C35548" w:rsidP="002C7603">
      <w:r>
        <w:t>Weds 24</w:t>
      </w:r>
      <w:r w:rsidR="00932938" w:rsidRPr="00932938">
        <w:rPr>
          <w:vertAlign w:val="superscript"/>
        </w:rPr>
        <w:t>th</w:t>
      </w:r>
      <w:r>
        <w:t xml:space="preserve"> Jan 2018</w:t>
      </w:r>
      <w:r w:rsidR="000A77AA" w:rsidRPr="000A77AA">
        <w:rPr>
          <w:color w:val="FF0000"/>
        </w:rPr>
        <w:t xml:space="preserve"> </w:t>
      </w:r>
      <w:r w:rsidR="001E5FB1">
        <w:t xml:space="preserve"> </w:t>
      </w:r>
      <w:r w:rsidR="002C7603">
        <w:t xml:space="preserve">– </w:t>
      </w:r>
      <w:r w:rsidR="00932938">
        <w:t>Epistemology II</w:t>
      </w:r>
      <w:r>
        <w:t>.  2S604</w:t>
      </w:r>
    </w:p>
    <w:p w14:paraId="4F2877D8" w14:textId="7A854DC5" w:rsidR="002C7603" w:rsidRDefault="00932938" w:rsidP="002C7603">
      <w:r w:rsidRPr="00932938">
        <w:rPr>
          <w:color w:val="000000" w:themeColor="text1"/>
        </w:rPr>
        <w:t xml:space="preserve">Weds </w:t>
      </w:r>
      <w:r w:rsidR="00C35548">
        <w:rPr>
          <w:color w:val="000000" w:themeColor="text1"/>
        </w:rPr>
        <w:t>14</w:t>
      </w:r>
      <w:r w:rsidRPr="00932938">
        <w:rPr>
          <w:color w:val="000000" w:themeColor="text1"/>
          <w:vertAlign w:val="superscript"/>
        </w:rPr>
        <w:t>th</w:t>
      </w:r>
      <w:r w:rsidR="00C35548">
        <w:rPr>
          <w:color w:val="000000" w:themeColor="text1"/>
        </w:rPr>
        <w:t xml:space="preserve"> March 2018</w:t>
      </w:r>
      <w:r w:rsidR="002C7603" w:rsidRPr="00932938">
        <w:rPr>
          <w:color w:val="000000" w:themeColor="text1"/>
        </w:rPr>
        <w:t xml:space="preserve"> – </w:t>
      </w:r>
      <w:r w:rsidR="00646F4E">
        <w:t>R</w:t>
      </w:r>
      <w:r w:rsidR="00C35548">
        <w:t>es Governance and Impact.   2S604</w:t>
      </w:r>
    </w:p>
    <w:p w14:paraId="5E8A6B84" w14:textId="64253DD9" w:rsidR="002C7603" w:rsidRDefault="00932938" w:rsidP="002C7603">
      <w:r w:rsidRPr="00932938">
        <w:rPr>
          <w:color w:val="000000" w:themeColor="text1"/>
        </w:rPr>
        <w:t xml:space="preserve">Weds </w:t>
      </w:r>
      <w:r w:rsidR="00C35548">
        <w:rPr>
          <w:color w:val="000000" w:themeColor="text1"/>
        </w:rPr>
        <w:t>18</w:t>
      </w:r>
      <w:r w:rsidRPr="00932938">
        <w:rPr>
          <w:color w:val="000000" w:themeColor="text1"/>
          <w:vertAlign w:val="superscript"/>
        </w:rPr>
        <w:t>th</w:t>
      </w:r>
      <w:r w:rsidRPr="00932938">
        <w:rPr>
          <w:color w:val="000000" w:themeColor="text1"/>
        </w:rPr>
        <w:t xml:space="preserve"> April</w:t>
      </w:r>
      <w:r w:rsidR="00C35548">
        <w:rPr>
          <w:color w:val="000000" w:themeColor="text1"/>
        </w:rPr>
        <w:t xml:space="preserve"> 2018</w:t>
      </w:r>
      <w:r w:rsidR="002C7603" w:rsidRPr="00932938">
        <w:rPr>
          <w:color w:val="000000" w:themeColor="text1"/>
        </w:rPr>
        <w:t xml:space="preserve"> </w:t>
      </w:r>
      <w:r w:rsidR="002C7603">
        <w:t>– Public Engagement</w:t>
      </w:r>
      <w:r>
        <w:t xml:space="preserve"> &amp; Research</w:t>
      </w:r>
      <w:r w:rsidR="00C35548">
        <w:t>.   2S604</w:t>
      </w:r>
    </w:p>
    <w:p w14:paraId="7F4B7CD1" w14:textId="74C45569" w:rsidR="002C7603" w:rsidRDefault="00932938" w:rsidP="002C7603">
      <w:r w:rsidRPr="00932938">
        <w:rPr>
          <w:color w:val="000000" w:themeColor="text1"/>
        </w:rPr>
        <w:t xml:space="preserve">Weds </w:t>
      </w:r>
      <w:r w:rsidR="002A55B0">
        <w:rPr>
          <w:color w:val="000000" w:themeColor="text1"/>
        </w:rPr>
        <w:t>1</w:t>
      </w:r>
      <w:r w:rsidR="00C35548">
        <w:rPr>
          <w:color w:val="000000" w:themeColor="text1"/>
        </w:rPr>
        <w:t>6</w:t>
      </w:r>
      <w:r w:rsidRPr="00932938">
        <w:rPr>
          <w:color w:val="000000" w:themeColor="text1"/>
          <w:vertAlign w:val="superscript"/>
        </w:rPr>
        <w:t>th</w:t>
      </w:r>
      <w:r w:rsidRPr="00932938">
        <w:rPr>
          <w:color w:val="000000" w:themeColor="text1"/>
        </w:rPr>
        <w:t xml:space="preserve"> May</w:t>
      </w:r>
      <w:r w:rsidR="00E76B83" w:rsidRPr="00932938">
        <w:rPr>
          <w:color w:val="000000" w:themeColor="text1"/>
        </w:rPr>
        <w:t xml:space="preserve"> </w:t>
      </w:r>
      <w:r w:rsidR="00C35548">
        <w:rPr>
          <w:color w:val="000000" w:themeColor="text1"/>
        </w:rPr>
        <w:t>2018</w:t>
      </w:r>
      <w:r>
        <w:rPr>
          <w:color w:val="000000" w:themeColor="text1"/>
        </w:rPr>
        <w:t xml:space="preserve"> </w:t>
      </w:r>
      <w:r w:rsidR="00E76B83">
        <w:t>– Transdisciplinarity in Research</w:t>
      </w:r>
      <w:r w:rsidR="00C35548">
        <w:t>.  2S60</w:t>
      </w:r>
      <w:r w:rsidR="00646F4E">
        <w:t>4</w:t>
      </w:r>
    </w:p>
    <w:p w14:paraId="0E006447" w14:textId="3B33DB5D" w:rsidR="002C7603" w:rsidRDefault="002C7603" w:rsidP="00173A59">
      <w:pPr>
        <w:pStyle w:val="indent2"/>
        <w:tabs>
          <w:tab w:val="clear" w:pos="0"/>
        </w:tabs>
        <w:rPr>
          <w:rFonts w:asciiTheme="minorHAnsi" w:hAnsiTheme="minorHAnsi" w:cstheme="minorHAnsi"/>
          <w:szCs w:val="24"/>
        </w:rPr>
      </w:pPr>
      <w:r>
        <w:rPr>
          <w:rFonts w:asciiTheme="minorHAnsi" w:hAnsiTheme="minorHAnsi" w:cstheme="minorHAnsi"/>
          <w:szCs w:val="24"/>
        </w:rPr>
        <w:t xml:space="preserve">All </w:t>
      </w:r>
      <w:r w:rsidR="00F9643B">
        <w:rPr>
          <w:rFonts w:asciiTheme="minorHAnsi" w:hAnsiTheme="minorHAnsi" w:cstheme="minorHAnsi"/>
          <w:szCs w:val="24"/>
        </w:rPr>
        <w:t>Professional Resea</w:t>
      </w:r>
      <w:r w:rsidR="005C28D3">
        <w:rPr>
          <w:rFonts w:asciiTheme="minorHAnsi" w:hAnsiTheme="minorHAnsi" w:cstheme="minorHAnsi"/>
          <w:szCs w:val="24"/>
        </w:rPr>
        <w:t>r</w:t>
      </w:r>
      <w:r w:rsidR="00F9643B">
        <w:rPr>
          <w:rFonts w:asciiTheme="minorHAnsi" w:hAnsiTheme="minorHAnsi" w:cstheme="minorHAnsi"/>
          <w:szCs w:val="24"/>
        </w:rPr>
        <w:t xml:space="preserve">cher Workshops </w:t>
      </w:r>
      <w:r>
        <w:rPr>
          <w:rFonts w:asciiTheme="minorHAnsi" w:hAnsiTheme="minorHAnsi" w:cstheme="minorHAnsi"/>
          <w:szCs w:val="24"/>
        </w:rPr>
        <w:t>will</w:t>
      </w:r>
      <w:r w:rsidR="00A73C0E">
        <w:rPr>
          <w:rFonts w:asciiTheme="minorHAnsi" w:hAnsiTheme="minorHAnsi" w:cstheme="minorHAnsi"/>
          <w:szCs w:val="24"/>
        </w:rPr>
        <w:t xml:space="preserve"> be from 9:30-12:30</w:t>
      </w:r>
      <w:r w:rsidR="0084143B">
        <w:rPr>
          <w:rFonts w:asciiTheme="minorHAnsi" w:hAnsiTheme="minorHAnsi" w:cstheme="minorHAnsi"/>
          <w:szCs w:val="24"/>
        </w:rPr>
        <w:t xml:space="preserve"> GMT/BST</w:t>
      </w:r>
      <w:r w:rsidR="00A73C0E">
        <w:rPr>
          <w:rFonts w:asciiTheme="minorHAnsi" w:hAnsiTheme="minorHAnsi" w:cstheme="minorHAnsi"/>
          <w:szCs w:val="24"/>
        </w:rPr>
        <w:t xml:space="preserve"> in</w:t>
      </w:r>
      <w:r w:rsidR="00A73C0E" w:rsidRPr="00000EB6">
        <w:rPr>
          <w:rFonts w:asciiTheme="minorHAnsi" w:hAnsiTheme="minorHAnsi" w:cstheme="minorHAnsi"/>
          <w:color w:val="000000" w:themeColor="text1"/>
          <w:szCs w:val="24"/>
        </w:rPr>
        <w:t xml:space="preserve"> </w:t>
      </w:r>
      <w:r w:rsidR="00C35548">
        <w:rPr>
          <w:rFonts w:asciiTheme="minorHAnsi" w:hAnsiTheme="minorHAnsi" w:cstheme="minorHAnsi"/>
          <w:color w:val="000000" w:themeColor="text1"/>
          <w:szCs w:val="24"/>
        </w:rPr>
        <w:t>2S60</w:t>
      </w:r>
      <w:r w:rsidR="00000EB6" w:rsidRPr="00000EB6">
        <w:rPr>
          <w:rFonts w:asciiTheme="minorHAnsi" w:hAnsiTheme="minorHAnsi" w:cstheme="minorHAnsi"/>
          <w:color w:val="000000" w:themeColor="text1"/>
          <w:szCs w:val="24"/>
        </w:rPr>
        <w:t>4</w:t>
      </w:r>
      <w:r w:rsidR="0065631E">
        <w:rPr>
          <w:rFonts w:asciiTheme="minorHAnsi" w:hAnsiTheme="minorHAnsi" w:cstheme="minorHAnsi"/>
          <w:szCs w:val="24"/>
        </w:rPr>
        <w:t xml:space="preserve"> </w:t>
      </w:r>
      <w:r w:rsidR="00A73C0E">
        <w:rPr>
          <w:rFonts w:asciiTheme="minorHAnsi" w:hAnsiTheme="minorHAnsi" w:cstheme="minorHAnsi"/>
          <w:szCs w:val="24"/>
        </w:rPr>
        <w:t>and</w:t>
      </w:r>
      <w:r w:rsidR="007B5F04">
        <w:rPr>
          <w:rFonts w:asciiTheme="minorHAnsi" w:hAnsiTheme="minorHAnsi" w:cstheme="minorHAnsi"/>
          <w:szCs w:val="24"/>
        </w:rPr>
        <w:t xml:space="preserve"> will be webcast, and be recorded for later viewing, </w:t>
      </w:r>
      <w:r w:rsidR="008F4278">
        <w:rPr>
          <w:rFonts w:asciiTheme="minorHAnsi" w:hAnsiTheme="minorHAnsi" w:cstheme="minorHAnsi"/>
          <w:szCs w:val="24"/>
        </w:rPr>
        <w:t xml:space="preserve">via </w:t>
      </w:r>
      <w:hyperlink r:id="rId15" w:history="1">
        <w:r w:rsidR="008F4278" w:rsidRPr="008F4278">
          <w:rPr>
            <w:rStyle w:val="Hyperlink"/>
            <w:rFonts w:asciiTheme="minorHAnsi" w:hAnsiTheme="minorHAnsi" w:cstheme="minorHAnsi"/>
            <w:szCs w:val="24"/>
          </w:rPr>
          <w:t>Panopto</w:t>
        </w:r>
      </w:hyperlink>
      <w:r>
        <w:rPr>
          <w:rFonts w:asciiTheme="minorHAnsi" w:hAnsiTheme="minorHAnsi" w:cstheme="minorHAnsi"/>
          <w:szCs w:val="24"/>
        </w:rPr>
        <w:t>.</w:t>
      </w:r>
    </w:p>
    <w:p w14:paraId="40139F21" w14:textId="77777777" w:rsidR="002C7603" w:rsidRDefault="002C7603" w:rsidP="00173A59">
      <w:pPr>
        <w:pStyle w:val="indent2"/>
        <w:tabs>
          <w:tab w:val="clear" w:pos="0"/>
        </w:tabs>
        <w:rPr>
          <w:rFonts w:asciiTheme="minorHAnsi" w:hAnsiTheme="minorHAnsi" w:cstheme="minorHAnsi"/>
          <w:szCs w:val="24"/>
        </w:rPr>
      </w:pPr>
    </w:p>
    <w:p w14:paraId="4BCC9CB0" w14:textId="77777777" w:rsidR="00173A59" w:rsidRPr="00D24C56" w:rsidRDefault="00173A59" w:rsidP="00173A59">
      <w:pPr>
        <w:pStyle w:val="indent2"/>
        <w:tabs>
          <w:tab w:val="clear" w:pos="0"/>
        </w:tabs>
        <w:rPr>
          <w:rFonts w:asciiTheme="minorHAnsi" w:hAnsiTheme="minorHAnsi" w:cstheme="minorHAnsi"/>
          <w:szCs w:val="24"/>
        </w:rPr>
      </w:pPr>
    </w:p>
    <w:p w14:paraId="03A3F4C4" w14:textId="77777777" w:rsidR="00D24C56" w:rsidRPr="00D24C56" w:rsidRDefault="00D24C56" w:rsidP="00D24C56">
      <w:pPr>
        <w:rPr>
          <w:b/>
          <w:sz w:val="28"/>
          <w:szCs w:val="28"/>
        </w:rPr>
      </w:pPr>
      <w:r w:rsidRPr="00D24C56">
        <w:rPr>
          <w:b/>
          <w:sz w:val="28"/>
          <w:szCs w:val="28"/>
        </w:rPr>
        <w:t>Learning Outcomes</w:t>
      </w:r>
    </w:p>
    <w:p w14:paraId="43F1BB1A" w14:textId="77777777" w:rsidR="00D24C56" w:rsidRDefault="00D24C56" w:rsidP="00D24C56">
      <w:pPr>
        <w:pStyle w:val="indent2"/>
        <w:tabs>
          <w:tab w:val="clear" w:pos="0"/>
        </w:tabs>
        <w:rPr>
          <w:rFonts w:asciiTheme="minorHAnsi" w:hAnsiTheme="minorHAnsi" w:cstheme="minorHAnsi"/>
          <w:szCs w:val="24"/>
        </w:rPr>
      </w:pPr>
      <w:r w:rsidRPr="00D24C56">
        <w:rPr>
          <w:rFonts w:asciiTheme="minorHAnsi" w:hAnsiTheme="minorHAnsi" w:cstheme="minorHAnsi"/>
          <w:szCs w:val="24"/>
        </w:rPr>
        <w:t>On successful completion of this module students will be able to:</w:t>
      </w:r>
    </w:p>
    <w:p w14:paraId="2BA39B41" w14:textId="77777777" w:rsidR="00F9643B" w:rsidRPr="00D24C56" w:rsidRDefault="00F9643B" w:rsidP="00D24C56">
      <w:pPr>
        <w:pStyle w:val="indent2"/>
        <w:tabs>
          <w:tab w:val="clear" w:pos="0"/>
        </w:tabs>
        <w:rPr>
          <w:rFonts w:asciiTheme="minorHAnsi" w:hAnsiTheme="minorHAnsi" w:cstheme="minorHAnsi"/>
          <w:szCs w:val="24"/>
        </w:rPr>
      </w:pPr>
    </w:p>
    <w:p w14:paraId="3E87D90A" w14:textId="77777777" w:rsidR="00D24C56" w:rsidRPr="00D24C56" w:rsidRDefault="00D24C56" w:rsidP="00D24C56">
      <w:pPr>
        <w:pStyle w:val="indent2"/>
        <w:numPr>
          <w:ilvl w:val="0"/>
          <w:numId w:val="2"/>
        </w:numPr>
        <w:tabs>
          <w:tab w:val="clear" w:pos="0"/>
        </w:tabs>
        <w:spacing w:after="120"/>
        <w:rPr>
          <w:rFonts w:asciiTheme="minorHAnsi" w:hAnsiTheme="minorHAnsi" w:cstheme="minorHAnsi"/>
          <w:szCs w:val="24"/>
        </w:rPr>
      </w:pPr>
      <w:r w:rsidRPr="00D24C56">
        <w:rPr>
          <w:rFonts w:asciiTheme="minorHAnsi" w:hAnsiTheme="minorHAnsi" w:cstheme="minorHAnsi"/>
          <w:szCs w:val="24"/>
        </w:rPr>
        <w:t>Demonstrate an understanding of the intellectual foundations of research in a contemporary context including the creative and cognitive abilities necessary to carry it out</w:t>
      </w:r>
    </w:p>
    <w:p w14:paraId="7C9E38F5" w14:textId="77777777" w:rsidR="00D24C56" w:rsidRPr="00D24C56" w:rsidRDefault="00D24C56" w:rsidP="00D24C56">
      <w:pPr>
        <w:pStyle w:val="indent2"/>
        <w:numPr>
          <w:ilvl w:val="0"/>
          <w:numId w:val="2"/>
        </w:numPr>
        <w:tabs>
          <w:tab w:val="clear" w:pos="0"/>
        </w:tabs>
        <w:spacing w:after="120"/>
        <w:rPr>
          <w:rFonts w:asciiTheme="minorHAnsi" w:hAnsiTheme="minorHAnsi" w:cstheme="minorHAnsi"/>
          <w:szCs w:val="24"/>
        </w:rPr>
      </w:pPr>
      <w:r>
        <w:rPr>
          <w:rFonts w:asciiTheme="minorHAnsi" w:hAnsiTheme="minorHAnsi" w:cstheme="minorHAnsi"/>
          <w:szCs w:val="24"/>
        </w:rPr>
        <w:t>Understand</w:t>
      </w:r>
      <w:r w:rsidRPr="00D24C56">
        <w:rPr>
          <w:rFonts w:asciiTheme="minorHAnsi" w:hAnsiTheme="minorHAnsi" w:cstheme="minorHAnsi"/>
          <w:szCs w:val="24"/>
        </w:rPr>
        <w:t xml:space="preserve"> the responsibilities of research governance necessary to lead research in a contemporary context including professional conduct and research management</w:t>
      </w:r>
    </w:p>
    <w:p w14:paraId="5CFC1786" w14:textId="77777777" w:rsidR="00F9643B" w:rsidRPr="00D24C56" w:rsidRDefault="00F9643B" w:rsidP="00F9643B">
      <w:pPr>
        <w:pStyle w:val="indent2"/>
        <w:numPr>
          <w:ilvl w:val="0"/>
          <w:numId w:val="2"/>
        </w:numPr>
        <w:tabs>
          <w:tab w:val="clear" w:pos="0"/>
        </w:tabs>
        <w:spacing w:after="120"/>
        <w:rPr>
          <w:rFonts w:asciiTheme="minorHAnsi" w:hAnsiTheme="minorHAnsi" w:cstheme="minorHAnsi"/>
          <w:szCs w:val="24"/>
        </w:rPr>
      </w:pPr>
      <w:r w:rsidRPr="00D24C56">
        <w:rPr>
          <w:rFonts w:asciiTheme="minorHAnsi" w:hAnsiTheme="minorHAnsi" w:cstheme="minorHAnsi"/>
          <w:szCs w:val="24"/>
        </w:rPr>
        <w:t>Evidence personal exposure to a variety of epistemologies and research paradigms</w:t>
      </w:r>
    </w:p>
    <w:p w14:paraId="4E1F47B8" w14:textId="77777777" w:rsidR="00D24C56" w:rsidRPr="00D24C56" w:rsidRDefault="00D24C56" w:rsidP="00D24C56">
      <w:pPr>
        <w:pStyle w:val="indent2"/>
        <w:numPr>
          <w:ilvl w:val="0"/>
          <w:numId w:val="2"/>
        </w:numPr>
        <w:tabs>
          <w:tab w:val="clear" w:pos="0"/>
        </w:tabs>
        <w:spacing w:after="120"/>
        <w:rPr>
          <w:rFonts w:asciiTheme="minorHAnsi" w:hAnsiTheme="minorHAnsi" w:cstheme="minorHAnsi"/>
          <w:szCs w:val="24"/>
        </w:rPr>
      </w:pPr>
      <w:r w:rsidRPr="00D24C56">
        <w:rPr>
          <w:rFonts w:asciiTheme="minorHAnsi" w:hAnsiTheme="minorHAnsi" w:cstheme="minorHAnsi"/>
          <w:szCs w:val="24"/>
        </w:rPr>
        <w:t>Actively promote research findings including communication to a variety of audiences, including engagement with other researchers and stakeholders</w:t>
      </w:r>
    </w:p>
    <w:p w14:paraId="210F4818" w14:textId="77777777" w:rsidR="00D24C56" w:rsidRPr="00D24C56" w:rsidRDefault="00D24C56" w:rsidP="00D24C56">
      <w:pPr>
        <w:pStyle w:val="indent2"/>
        <w:numPr>
          <w:ilvl w:val="0"/>
          <w:numId w:val="2"/>
        </w:numPr>
        <w:tabs>
          <w:tab w:val="clear" w:pos="0"/>
        </w:tabs>
        <w:spacing w:after="120"/>
        <w:rPr>
          <w:rFonts w:asciiTheme="minorHAnsi" w:hAnsiTheme="minorHAnsi" w:cstheme="minorHAnsi"/>
          <w:szCs w:val="24"/>
        </w:rPr>
      </w:pPr>
      <w:r w:rsidRPr="00D24C56">
        <w:rPr>
          <w:rFonts w:asciiTheme="minorHAnsi" w:hAnsiTheme="minorHAnsi" w:cstheme="minorHAnsi"/>
          <w:szCs w:val="24"/>
        </w:rPr>
        <w:t xml:space="preserve">Understand and develop the personal qualities necessary for carrying out high quality contemporary research including personal effectiveness and career </w:t>
      </w:r>
      <w:r w:rsidRPr="00D24C56">
        <w:rPr>
          <w:rFonts w:asciiTheme="minorHAnsi" w:hAnsiTheme="minorHAnsi" w:cstheme="minorHAnsi"/>
          <w:szCs w:val="24"/>
        </w:rPr>
        <w:lastRenderedPageBreak/>
        <w:t>development</w:t>
      </w:r>
    </w:p>
    <w:p w14:paraId="624D89EC" w14:textId="77777777" w:rsidR="00D24C56" w:rsidRPr="00D24C56" w:rsidRDefault="00D24C56" w:rsidP="00D24C56">
      <w:pPr>
        <w:pStyle w:val="indent2"/>
        <w:numPr>
          <w:ilvl w:val="0"/>
          <w:numId w:val="2"/>
        </w:numPr>
        <w:tabs>
          <w:tab w:val="clear" w:pos="0"/>
        </w:tabs>
        <w:spacing w:after="120"/>
        <w:rPr>
          <w:rFonts w:asciiTheme="minorHAnsi" w:hAnsiTheme="minorHAnsi" w:cstheme="minorHAnsi"/>
          <w:szCs w:val="24"/>
        </w:rPr>
      </w:pPr>
      <w:r w:rsidRPr="00D24C56">
        <w:rPr>
          <w:rFonts w:asciiTheme="minorHAnsi" w:hAnsiTheme="minorHAnsi" w:cstheme="minorHAnsi"/>
          <w:szCs w:val="24"/>
        </w:rPr>
        <w:t xml:space="preserve">Evidence personal experience of demonstrating the importance of the research endeavour in a contemporary context   </w:t>
      </w:r>
    </w:p>
    <w:p w14:paraId="53B10E55" w14:textId="77777777" w:rsidR="00F9643B" w:rsidRDefault="00F9643B" w:rsidP="00D24C56">
      <w:pPr>
        <w:rPr>
          <w:rFonts w:cstheme="minorHAnsi"/>
          <w:b/>
          <w:sz w:val="28"/>
          <w:szCs w:val="28"/>
        </w:rPr>
      </w:pPr>
    </w:p>
    <w:p w14:paraId="4A7FA66C" w14:textId="77777777" w:rsidR="00D24C56" w:rsidRPr="00D24C56" w:rsidRDefault="00D24C56" w:rsidP="00D24C56">
      <w:pPr>
        <w:rPr>
          <w:rFonts w:cstheme="minorHAnsi"/>
          <w:b/>
          <w:sz w:val="28"/>
          <w:szCs w:val="28"/>
        </w:rPr>
      </w:pPr>
      <w:r w:rsidRPr="00D24C56">
        <w:rPr>
          <w:rFonts w:cstheme="minorHAnsi"/>
          <w:b/>
          <w:sz w:val="28"/>
          <w:szCs w:val="28"/>
        </w:rPr>
        <w:t>Learning Strategies</w:t>
      </w:r>
    </w:p>
    <w:p w14:paraId="1E206B62" w14:textId="17A2DDB9" w:rsidR="00D24C56" w:rsidRPr="00D24C56" w:rsidRDefault="00D24C56" w:rsidP="00D24C56">
      <w:pPr>
        <w:pStyle w:val="indent2"/>
        <w:tabs>
          <w:tab w:val="clear" w:pos="0"/>
          <w:tab w:val="clear" w:pos="720"/>
        </w:tabs>
        <w:spacing w:after="120"/>
        <w:jc w:val="both"/>
        <w:rPr>
          <w:rFonts w:asciiTheme="minorHAnsi" w:hAnsiTheme="minorHAnsi" w:cstheme="minorHAnsi"/>
          <w:szCs w:val="24"/>
        </w:rPr>
      </w:pPr>
      <w:r w:rsidRPr="00D24C56">
        <w:rPr>
          <w:rFonts w:asciiTheme="minorHAnsi" w:hAnsiTheme="minorHAnsi" w:cstheme="minorHAnsi"/>
          <w:szCs w:val="24"/>
        </w:rPr>
        <w:t>It is proposed that this will be a ‘Resea</w:t>
      </w:r>
      <w:r w:rsidR="00A73C0E">
        <w:rPr>
          <w:rFonts w:asciiTheme="minorHAnsi" w:hAnsiTheme="minorHAnsi" w:cstheme="minorHAnsi"/>
          <w:szCs w:val="24"/>
        </w:rPr>
        <w:t>rch-Based Learning’ module that</w:t>
      </w:r>
      <w:r w:rsidR="0084143B">
        <w:rPr>
          <w:rFonts w:asciiTheme="minorHAnsi" w:hAnsiTheme="minorHAnsi" w:cstheme="minorHAnsi"/>
          <w:szCs w:val="24"/>
        </w:rPr>
        <w:t xml:space="preserve"> will utilis</w:t>
      </w:r>
      <w:r w:rsidRPr="00D24C56">
        <w:rPr>
          <w:rFonts w:asciiTheme="minorHAnsi" w:hAnsiTheme="minorHAnsi" w:cstheme="minorHAnsi"/>
          <w:szCs w:val="24"/>
        </w:rPr>
        <w:t xml:space="preserve">e the pedagogy of Work-Based Learning but </w:t>
      </w:r>
      <w:r>
        <w:rPr>
          <w:rFonts w:asciiTheme="minorHAnsi" w:hAnsiTheme="minorHAnsi" w:cstheme="minorHAnsi"/>
          <w:szCs w:val="24"/>
        </w:rPr>
        <w:t>in the</w:t>
      </w:r>
      <w:r w:rsidRPr="00D24C56">
        <w:rPr>
          <w:rFonts w:asciiTheme="minorHAnsi" w:hAnsiTheme="minorHAnsi" w:cstheme="minorHAnsi"/>
          <w:szCs w:val="24"/>
        </w:rPr>
        <w:t xml:space="preserve"> context </w:t>
      </w:r>
      <w:r>
        <w:rPr>
          <w:rFonts w:asciiTheme="minorHAnsi" w:hAnsiTheme="minorHAnsi" w:cstheme="minorHAnsi"/>
          <w:szCs w:val="24"/>
        </w:rPr>
        <w:t>of research</w:t>
      </w:r>
      <w:r w:rsidRPr="00D24C56">
        <w:rPr>
          <w:rFonts w:asciiTheme="minorHAnsi" w:hAnsiTheme="minorHAnsi" w:cstheme="minorHAnsi"/>
          <w:szCs w:val="24"/>
        </w:rPr>
        <w:t xml:space="preserve">. This approach will embed the development of </w:t>
      </w:r>
      <w:r>
        <w:rPr>
          <w:rFonts w:asciiTheme="minorHAnsi" w:hAnsiTheme="minorHAnsi" w:cstheme="minorHAnsi"/>
          <w:szCs w:val="24"/>
        </w:rPr>
        <w:t>s</w:t>
      </w:r>
      <w:r w:rsidRPr="00D24C56">
        <w:rPr>
          <w:rFonts w:asciiTheme="minorHAnsi" w:hAnsiTheme="minorHAnsi" w:cstheme="minorHAnsi"/>
          <w:szCs w:val="24"/>
        </w:rPr>
        <w:t>ki</w:t>
      </w:r>
      <w:r w:rsidR="00F50305">
        <w:rPr>
          <w:rFonts w:asciiTheme="minorHAnsi" w:hAnsiTheme="minorHAnsi" w:cstheme="minorHAnsi"/>
          <w:szCs w:val="24"/>
        </w:rPr>
        <w:t>lls for postgraduate researchers</w:t>
      </w:r>
      <w:r w:rsidRPr="00D24C56">
        <w:rPr>
          <w:rFonts w:asciiTheme="minorHAnsi" w:hAnsiTheme="minorHAnsi" w:cstheme="minorHAnsi"/>
          <w:szCs w:val="24"/>
        </w:rPr>
        <w:t xml:space="preserve"> into their research context. This learning strategy has been chosen for two reasons. First, to help break down the g</w:t>
      </w:r>
      <w:r w:rsidR="00F50305">
        <w:rPr>
          <w:rFonts w:asciiTheme="minorHAnsi" w:hAnsiTheme="minorHAnsi" w:cstheme="minorHAnsi"/>
          <w:szCs w:val="24"/>
        </w:rPr>
        <w:t>ap that postgraduate researchers</w:t>
      </w:r>
      <w:r w:rsidRPr="00D24C56">
        <w:rPr>
          <w:rFonts w:asciiTheme="minorHAnsi" w:hAnsiTheme="minorHAnsi" w:cstheme="minorHAnsi"/>
          <w:szCs w:val="24"/>
        </w:rPr>
        <w:t xml:space="preserve"> and supervisors sometimes perceive between their skills development and their research</w:t>
      </w:r>
      <w:r w:rsidR="00F9643B">
        <w:rPr>
          <w:rFonts w:asciiTheme="minorHAnsi" w:hAnsiTheme="minorHAnsi" w:cstheme="minorHAnsi"/>
          <w:szCs w:val="24"/>
        </w:rPr>
        <w:t>,</w:t>
      </w:r>
      <w:r w:rsidRPr="00D24C56">
        <w:rPr>
          <w:rFonts w:asciiTheme="minorHAnsi" w:hAnsiTheme="minorHAnsi" w:cstheme="minorHAnsi"/>
          <w:szCs w:val="24"/>
        </w:rPr>
        <w:t xml:space="preserve"> by explicitly embedding the former in the later. Second, much ‘skil</w:t>
      </w:r>
      <w:r w:rsidR="00F50305">
        <w:rPr>
          <w:rFonts w:asciiTheme="minorHAnsi" w:hAnsiTheme="minorHAnsi" w:cstheme="minorHAnsi"/>
          <w:szCs w:val="24"/>
        </w:rPr>
        <w:t>ls’ development for postgraduate researchers</w:t>
      </w:r>
      <w:r w:rsidRPr="00D24C56">
        <w:rPr>
          <w:rFonts w:asciiTheme="minorHAnsi" w:hAnsiTheme="minorHAnsi" w:cstheme="minorHAnsi"/>
          <w:szCs w:val="24"/>
        </w:rPr>
        <w:t xml:space="preserve"> at UWE, and often elsewhere, has focused on methodological or discipline-specific training. This only addresses part of the Researcher Development Framework and embedding other aspects of Professional and Personal Skills in research will emphasise their importance. The workshops will be run by a module team drawn from across Faculties and disciplines</w:t>
      </w:r>
      <w:r w:rsidR="00F50305">
        <w:rPr>
          <w:rFonts w:asciiTheme="minorHAnsi" w:hAnsiTheme="minorHAnsi" w:cstheme="minorHAnsi"/>
          <w:szCs w:val="24"/>
        </w:rPr>
        <w:t>,</w:t>
      </w:r>
      <w:r w:rsidRPr="00D24C56">
        <w:rPr>
          <w:rFonts w:asciiTheme="minorHAnsi" w:hAnsiTheme="minorHAnsi" w:cstheme="minorHAnsi"/>
          <w:szCs w:val="24"/>
        </w:rPr>
        <w:t xml:space="preserve"> with each workshop leader drawing on their specific expertise.</w:t>
      </w:r>
    </w:p>
    <w:p w14:paraId="5CC44287" w14:textId="2AF92DDF" w:rsidR="00D24C56" w:rsidRPr="00D24C56" w:rsidRDefault="00F50305" w:rsidP="00D24C56">
      <w:pPr>
        <w:pStyle w:val="indent2"/>
        <w:tabs>
          <w:tab w:val="clear" w:pos="0"/>
          <w:tab w:val="clear" w:pos="720"/>
        </w:tabs>
        <w:spacing w:after="120"/>
        <w:jc w:val="both"/>
        <w:rPr>
          <w:rFonts w:asciiTheme="minorHAnsi" w:hAnsiTheme="minorHAnsi" w:cstheme="minorHAnsi"/>
          <w:szCs w:val="24"/>
        </w:rPr>
      </w:pPr>
      <w:r>
        <w:rPr>
          <w:rFonts w:asciiTheme="minorHAnsi" w:hAnsiTheme="minorHAnsi" w:cstheme="minorHAnsi"/>
          <w:szCs w:val="24"/>
        </w:rPr>
        <w:t>Postgraduate researchers</w:t>
      </w:r>
      <w:r w:rsidR="00D24C56" w:rsidRPr="00D24C56">
        <w:rPr>
          <w:rFonts w:asciiTheme="minorHAnsi" w:hAnsiTheme="minorHAnsi" w:cstheme="minorHAnsi"/>
          <w:szCs w:val="24"/>
        </w:rPr>
        <w:t xml:space="preserve"> from all Faculties will participate in workshops providing a significant cohort with different experiences to draw on - so a key learning st</w:t>
      </w:r>
      <w:r>
        <w:rPr>
          <w:rFonts w:asciiTheme="minorHAnsi" w:hAnsiTheme="minorHAnsi" w:cstheme="minorHAnsi"/>
          <w:szCs w:val="24"/>
        </w:rPr>
        <w:t>rategy will be to enable PGR</w:t>
      </w:r>
      <w:r w:rsidR="00D24C56" w:rsidRPr="00D24C56">
        <w:rPr>
          <w:rFonts w:asciiTheme="minorHAnsi" w:hAnsiTheme="minorHAnsi" w:cstheme="minorHAnsi"/>
          <w:szCs w:val="24"/>
        </w:rPr>
        <w:t xml:space="preserve">s to learn from each other about key aspects of </w:t>
      </w:r>
      <w:r>
        <w:rPr>
          <w:rFonts w:asciiTheme="minorHAnsi" w:hAnsiTheme="minorHAnsi" w:cstheme="minorHAnsi"/>
          <w:szCs w:val="24"/>
        </w:rPr>
        <w:t>contemporary research. PGRs'</w:t>
      </w:r>
      <w:r w:rsidR="00D24C56" w:rsidRPr="00D24C56">
        <w:rPr>
          <w:rFonts w:asciiTheme="minorHAnsi" w:hAnsiTheme="minorHAnsi" w:cstheme="minorHAnsi"/>
          <w:szCs w:val="24"/>
        </w:rPr>
        <w:t xml:space="preserve"> primary learning will be from evidencing and reflecting on aspects of contemporary research in action in their own research. They will keep a reflective portfolio of evidence of topics covered in the workshops in action in their own research or research discipline. The structure of the portfolio will be derived from the Vitae Researcher Development Framework.</w:t>
      </w:r>
      <w:r>
        <w:rPr>
          <w:rFonts w:asciiTheme="minorHAnsi" w:hAnsiTheme="minorHAnsi" w:cstheme="minorHAnsi"/>
          <w:szCs w:val="24"/>
        </w:rPr>
        <w:t xml:space="preserve"> PGR</w:t>
      </w:r>
      <w:r w:rsidR="00D24C56">
        <w:rPr>
          <w:rFonts w:asciiTheme="minorHAnsi" w:hAnsiTheme="minorHAnsi" w:cstheme="minorHAnsi"/>
          <w:szCs w:val="24"/>
        </w:rPr>
        <w:t>s will also prepare a case study on one aspect of the RDF in action in the research.</w:t>
      </w:r>
      <w:r w:rsidR="00D24C56" w:rsidRPr="00D24C56">
        <w:rPr>
          <w:rFonts w:asciiTheme="minorHAnsi" w:hAnsiTheme="minorHAnsi" w:cstheme="minorHAnsi"/>
          <w:szCs w:val="24"/>
        </w:rPr>
        <w:t xml:space="preserve"> It is expected that for each hour spent in workshops students will spend 2h of research-based learning evidencing and reflecting for their portfolio</w:t>
      </w:r>
      <w:r w:rsidR="00D24C56">
        <w:rPr>
          <w:rFonts w:asciiTheme="minorHAnsi" w:hAnsiTheme="minorHAnsi" w:cstheme="minorHAnsi"/>
          <w:szCs w:val="24"/>
        </w:rPr>
        <w:t xml:space="preserve"> and case study.</w:t>
      </w:r>
      <w:r w:rsidR="00D24C56" w:rsidRPr="00D24C56">
        <w:rPr>
          <w:rFonts w:asciiTheme="minorHAnsi" w:hAnsiTheme="minorHAnsi" w:cstheme="minorHAnsi"/>
          <w:szCs w:val="24"/>
        </w:rPr>
        <w:t xml:space="preserve"> </w:t>
      </w:r>
    </w:p>
    <w:p w14:paraId="70390A29" w14:textId="77777777" w:rsidR="00D24C56" w:rsidRPr="00D24C56" w:rsidRDefault="00D24C56" w:rsidP="00D24C56">
      <w:pPr>
        <w:rPr>
          <w:b/>
          <w:sz w:val="28"/>
          <w:szCs w:val="28"/>
        </w:rPr>
      </w:pPr>
      <w:r w:rsidRPr="00D24C56">
        <w:rPr>
          <w:b/>
          <w:sz w:val="28"/>
          <w:szCs w:val="28"/>
        </w:rPr>
        <w:t>Learning Support Materials</w:t>
      </w:r>
    </w:p>
    <w:p w14:paraId="5747ADEB" w14:textId="77777777" w:rsidR="00D24C56" w:rsidRPr="00D24C56" w:rsidRDefault="00D24C56" w:rsidP="00D24C56">
      <w:pPr>
        <w:pStyle w:val="Heading3"/>
        <w:spacing w:before="0" w:beforeAutospacing="0" w:after="120" w:afterAutospacing="0"/>
        <w:rPr>
          <w:rFonts w:asciiTheme="minorHAnsi" w:hAnsiTheme="minorHAnsi" w:cstheme="minorHAnsi"/>
          <w:b w:val="0"/>
          <w:bCs w:val="0"/>
          <w:sz w:val="24"/>
          <w:szCs w:val="24"/>
        </w:rPr>
      </w:pPr>
      <w:r w:rsidRPr="00D24C56">
        <w:rPr>
          <w:rStyle w:val="ptbrand5"/>
          <w:rFonts w:asciiTheme="minorHAnsi" w:hAnsiTheme="minorHAnsi" w:cstheme="minorHAnsi"/>
          <w:b w:val="0"/>
          <w:bCs w:val="0"/>
          <w:sz w:val="24"/>
          <w:szCs w:val="24"/>
        </w:rPr>
        <w:t>Hinchcliffe R, Bromley AP,  Hutchinson SJ (2007)</w:t>
      </w:r>
      <w:r w:rsidRPr="00D24C56">
        <w:rPr>
          <w:rFonts w:asciiTheme="minorHAnsi" w:hAnsiTheme="minorHAnsi" w:cstheme="minorHAnsi"/>
          <w:b w:val="0"/>
          <w:bCs w:val="0"/>
          <w:sz w:val="24"/>
          <w:szCs w:val="24"/>
        </w:rPr>
        <w:t xml:space="preserve"> </w:t>
      </w:r>
      <w:r w:rsidRPr="00D24C56">
        <w:rPr>
          <w:rFonts w:asciiTheme="minorHAnsi" w:hAnsiTheme="minorHAnsi" w:cstheme="minorHAnsi"/>
          <w:b w:val="0"/>
          <w:bCs w:val="0"/>
          <w:i/>
          <w:sz w:val="24"/>
          <w:szCs w:val="24"/>
        </w:rPr>
        <w:t>Skills Training in Research Degree Programmes</w:t>
      </w:r>
      <w:r w:rsidRPr="00D24C56">
        <w:rPr>
          <w:rFonts w:asciiTheme="minorHAnsi" w:hAnsiTheme="minorHAnsi" w:cstheme="minorHAnsi"/>
          <w:b w:val="0"/>
          <w:bCs w:val="0"/>
          <w:sz w:val="24"/>
          <w:szCs w:val="24"/>
        </w:rPr>
        <w:t xml:space="preserve">. </w:t>
      </w:r>
      <w:r w:rsidRPr="00D24C56">
        <w:rPr>
          <w:rStyle w:val="ptbrand5"/>
          <w:rFonts w:asciiTheme="minorHAnsi" w:hAnsiTheme="minorHAnsi" w:cstheme="minorHAnsi"/>
          <w:b w:val="0"/>
          <w:bCs w:val="0"/>
          <w:sz w:val="24"/>
          <w:szCs w:val="24"/>
        </w:rPr>
        <w:t>Open University Press.</w:t>
      </w:r>
    </w:p>
    <w:p w14:paraId="73E80748" w14:textId="77777777" w:rsidR="00D24C56" w:rsidRPr="00D24C56" w:rsidRDefault="00D24C56" w:rsidP="00D24C56">
      <w:pPr>
        <w:spacing w:after="120"/>
        <w:rPr>
          <w:rFonts w:cstheme="minorHAnsi"/>
          <w:i/>
          <w:sz w:val="24"/>
          <w:szCs w:val="24"/>
        </w:rPr>
      </w:pPr>
      <w:r w:rsidRPr="00D24C56">
        <w:rPr>
          <w:rFonts w:cstheme="minorHAnsi"/>
          <w:sz w:val="24"/>
          <w:szCs w:val="24"/>
        </w:rPr>
        <w:t>Boud D, Lee A (2009)</w:t>
      </w:r>
      <w:r w:rsidRPr="00D24C56">
        <w:rPr>
          <w:rFonts w:cstheme="minorHAnsi"/>
          <w:i/>
          <w:sz w:val="24"/>
          <w:szCs w:val="24"/>
        </w:rPr>
        <w:t xml:space="preserve"> (Eds) Changing Practice in Doctoral Education.</w:t>
      </w:r>
      <w:r w:rsidRPr="00D24C56">
        <w:rPr>
          <w:rFonts w:cstheme="minorHAnsi"/>
          <w:sz w:val="24"/>
          <w:szCs w:val="24"/>
        </w:rPr>
        <w:t xml:space="preserve"> Routledge.</w:t>
      </w:r>
      <w:r w:rsidRPr="00D24C56">
        <w:rPr>
          <w:rFonts w:cstheme="minorHAnsi"/>
          <w:i/>
          <w:sz w:val="24"/>
          <w:szCs w:val="24"/>
        </w:rPr>
        <w:t xml:space="preserve"> </w:t>
      </w:r>
    </w:p>
    <w:p w14:paraId="276C391D" w14:textId="77777777" w:rsidR="00D24C56" w:rsidRPr="00D24C56" w:rsidRDefault="00D24C56" w:rsidP="00D24C56">
      <w:pPr>
        <w:pStyle w:val="Heading3"/>
        <w:spacing w:before="0" w:beforeAutospacing="0" w:after="120" w:afterAutospacing="0"/>
        <w:rPr>
          <w:rFonts w:asciiTheme="minorHAnsi" w:hAnsiTheme="minorHAnsi" w:cstheme="minorHAnsi"/>
          <w:b w:val="0"/>
          <w:bCs w:val="0"/>
          <w:sz w:val="24"/>
          <w:szCs w:val="24"/>
        </w:rPr>
      </w:pPr>
      <w:r w:rsidRPr="00D24C56">
        <w:rPr>
          <w:rStyle w:val="ptbrand5"/>
          <w:rFonts w:asciiTheme="minorHAnsi" w:hAnsiTheme="minorHAnsi" w:cstheme="minorHAnsi"/>
          <w:b w:val="0"/>
          <w:bCs w:val="0"/>
          <w:sz w:val="24"/>
          <w:szCs w:val="24"/>
        </w:rPr>
        <w:t>Marshall S &amp; Green N (2010)</w:t>
      </w:r>
      <w:r w:rsidRPr="00D24C56">
        <w:rPr>
          <w:rFonts w:asciiTheme="minorHAnsi" w:hAnsiTheme="minorHAnsi" w:cstheme="minorHAnsi"/>
          <w:b w:val="0"/>
          <w:bCs w:val="0"/>
          <w:sz w:val="24"/>
          <w:szCs w:val="24"/>
        </w:rPr>
        <w:t xml:space="preserve">  </w:t>
      </w:r>
      <w:r w:rsidRPr="00EA1200">
        <w:rPr>
          <w:rFonts w:asciiTheme="minorHAnsi" w:hAnsiTheme="minorHAnsi" w:cstheme="minorHAnsi"/>
          <w:b w:val="0"/>
          <w:bCs w:val="0"/>
          <w:i/>
          <w:sz w:val="24"/>
          <w:szCs w:val="24"/>
        </w:rPr>
        <w:t>Your PhD Companion: The Insider Guide to Mastering the Practical Realities</w:t>
      </w:r>
      <w:r w:rsidRPr="00D24C56">
        <w:rPr>
          <w:rFonts w:asciiTheme="minorHAnsi" w:hAnsiTheme="minorHAnsi" w:cstheme="minorHAnsi"/>
          <w:b w:val="0"/>
          <w:bCs w:val="0"/>
          <w:sz w:val="24"/>
          <w:szCs w:val="24"/>
        </w:rPr>
        <w:t>. How to Books Ltd 3</w:t>
      </w:r>
      <w:r w:rsidRPr="00D24C56">
        <w:rPr>
          <w:rFonts w:asciiTheme="minorHAnsi" w:hAnsiTheme="minorHAnsi" w:cstheme="minorHAnsi"/>
          <w:b w:val="0"/>
          <w:bCs w:val="0"/>
          <w:sz w:val="24"/>
          <w:szCs w:val="24"/>
          <w:vertAlign w:val="superscript"/>
        </w:rPr>
        <w:t>rd</w:t>
      </w:r>
      <w:r w:rsidRPr="00D24C56">
        <w:rPr>
          <w:rFonts w:asciiTheme="minorHAnsi" w:hAnsiTheme="minorHAnsi" w:cstheme="minorHAnsi"/>
          <w:b w:val="0"/>
          <w:bCs w:val="0"/>
          <w:sz w:val="24"/>
          <w:szCs w:val="24"/>
        </w:rPr>
        <w:t xml:space="preserve"> Ed.</w:t>
      </w:r>
    </w:p>
    <w:p w14:paraId="7DD7CCFF" w14:textId="77777777" w:rsidR="00D24C56" w:rsidRDefault="00D24C56" w:rsidP="00D24C56">
      <w:pPr>
        <w:pStyle w:val="Heading3"/>
        <w:spacing w:before="0" w:beforeAutospacing="0" w:after="120" w:afterAutospacing="0"/>
        <w:rPr>
          <w:rFonts w:asciiTheme="minorHAnsi" w:hAnsiTheme="minorHAnsi" w:cstheme="minorHAnsi"/>
          <w:b w:val="0"/>
          <w:bCs w:val="0"/>
          <w:sz w:val="24"/>
          <w:szCs w:val="24"/>
        </w:rPr>
      </w:pPr>
      <w:r w:rsidRPr="00D24C56">
        <w:rPr>
          <w:rFonts w:asciiTheme="minorHAnsi" w:hAnsiTheme="minorHAnsi" w:cstheme="minorHAnsi"/>
          <w:b w:val="0"/>
          <w:bCs w:val="0"/>
          <w:sz w:val="24"/>
          <w:szCs w:val="24"/>
        </w:rPr>
        <w:t xml:space="preserve">Phillips E.M &amp; Pugh D.S. (2010)  </w:t>
      </w:r>
      <w:r w:rsidRPr="00D24C56">
        <w:rPr>
          <w:rFonts w:asciiTheme="minorHAnsi" w:hAnsiTheme="minorHAnsi" w:cstheme="minorHAnsi"/>
          <w:b w:val="0"/>
          <w:bCs w:val="0"/>
          <w:i/>
          <w:sz w:val="24"/>
          <w:szCs w:val="24"/>
        </w:rPr>
        <w:t>How to get a PhD: a handbook for students and their supervisors</w:t>
      </w:r>
      <w:r w:rsidRPr="00D24C56">
        <w:rPr>
          <w:rFonts w:asciiTheme="minorHAnsi" w:hAnsiTheme="minorHAnsi" w:cstheme="minorHAnsi"/>
          <w:b w:val="0"/>
          <w:bCs w:val="0"/>
          <w:sz w:val="24"/>
          <w:szCs w:val="24"/>
        </w:rPr>
        <w:t xml:space="preserve"> Open Uni Press, 5</w:t>
      </w:r>
      <w:r w:rsidRPr="00D24C56">
        <w:rPr>
          <w:rFonts w:asciiTheme="minorHAnsi" w:hAnsiTheme="minorHAnsi" w:cstheme="minorHAnsi"/>
          <w:b w:val="0"/>
          <w:bCs w:val="0"/>
          <w:sz w:val="24"/>
          <w:szCs w:val="24"/>
          <w:vertAlign w:val="superscript"/>
        </w:rPr>
        <w:t>th</w:t>
      </w:r>
      <w:r w:rsidRPr="00D24C56">
        <w:rPr>
          <w:rFonts w:asciiTheme="minorHAnsi" w:hAnsiTheme="minorHAnsi" w:cstheme="minorHAnsi"/>
          <w:b w:val="0"/>
          <w:bCs w:val="0"/>
          <w:sz w:val="24"/>
          <w:szCs w:val="24"/>
        </w:rPr>
        <w:t xml:space="preserve"> Ed.</w:t>
      </w:r>
    </w:p>
    <w:p w14:paraId="2D7FB781" w14:textId="17AFA9C8" w:rsidR="007B5F04" w:rsidRDefault="007B5F04">
      <w:pPr>
        <w:rPr>
          <w:rFonts w:eastAsia="Times New Roman" w:cstheme="minorHAnsi"/>
          <w:sz w:val="24"/>
          <w:szCs w:val="24"/>
        </w:rPr>
      </w:pPr>
      <w:r>
        <w:rPr>
          <w:rFonts w:cstheme="minorHAnsi"/>
          <w:b/>
          <w:bCs/>
          <w:sz w:val="24"/>
          <w:szCs w:val="24"/>
        </w:rPr>
        <w:br w:type="page"/>
      </w:r>
    </w:p>
    <w:p w14:paraId="69F97DE2" w14:textId="77777777" w:rsidR="00D24C56" w:rsidRPr="00D24C56" w:rsidRDefault="00D24C56" w:rsidP="00D24C56">
      <w:pPr>
        <w:rPr>
          <w:b/>
          <w:sz w:val="28"/>
          <w:szCs w:val="28"/>
        </w:rPr>
      </w:pPr>
      <w:r w:rsidRPr="00D24C56">
        <w:rPr>
          <w:b/>
          <w:sz w:val="28"/>
          <w:szCs w:val="28"/>
        </w:rPr>
        <w:lastRenderedPageBreak/>
        <w:t>Assessments</w:t>
      </w:r>
    </w:p>
    <w:p w14:paraId="235F38D8" w14:textId="19A5CF46" w:rsidR="00EA1200" w:rsidRDefault="005C28D3" w:rsidP="00D24C56">
      <w:pPr>
        <w:pStyle w:val="indent2"/>
        <w:numPr>
          <w:ilvl w:val="0"/>
          <w:numId w:val="5"/>
        </w:numPr>
        <w:tabs>
          <w:tab w:val="clear" w:pos="0"/>
          <w:tab w:val="clear" w:pos="720"/>
        </w:tabs>
        <w:spacing w:after="120"/>
        <w:ind w:left="357" w:hanging="357"/>
        <w:rPr>
          <w:rFonts w:asciiTheme="minorHAnsi" w:hAnsiTheme="minorHAnsi" w:cstheme="minorHAnsi"/>
          <w:szCs w:val="24"/>
        </w:rPr>
      </w:pPr>
      <w:r>
        <w:rPr>
          <w:rFonts w:asciiTheme="minorHAnsi" w:hAnsiTheme="minorHAnsi" w:cstheme="minorHAnsi"/>
          <w:szCs w:val="24"/>
        </w:rPr>
        <w:t>The assessment approach is informed by</w:t>
      </w:r>
      <w:r w:rsidR="00EA1200">
        <w:rPr>
          <w:rFonts w:asciiTheme="minorHAnsi" w:hAnsiTheme="minorHAnsi" w:cstheme="minorHAnsi"/>
          <w:szCs w:val="24"/>
        </w:rPr>
        <w:t xml:space="preserve"> </w:t>
      </w:r>
      <w:r>
        <w:rPr>
          <w:rFonts w:asciiTheme="minorHAnsi" w:hAnsiTheme="minorHAnsi" w:cstheme="minorHAnsi"/>
          <w:szCs w:val="24"/>
        </w:rPr>
        <w:t xml:space="preserve">that used by </w:t>
      </w:r>
      <w:r w:rsidR="00EA1200">
        <w:rPr>
          <w:rFonts w:asciiTheme="minorHAnsi" w:hAnsiTheme="minorHAnsi" w:cstheme="minorHAnsi"/>
          <w:szCs w:val="24"/>
        </w:rPr>
        <w:t>professional practice module</w:t>
      </w:r>
      <w:r>
        <w:rPr>
          <w:rFonts w:asciiTheme="minorHAnsi" w:hAnsiTheme="minorHAnsi" w:cstheme="minorHAnsi"/>
          <w:szCs w:val="24"/>
        </w:rPr>
        <w:t>s</w:t>
      </w:r>
      <w:r w:rsidR="00F9643B">
        <w:rPr>
          <w:rFonts w:asciiTheme="minorHAnsi" w:hAnsiTheme="minorHAnsi" w:cstheme="minorHAnsi"/>
          <w:szCs w:val="24"/>
        </w:rPr>
        <w:t>,</w:t>
      </w:r>
      <w:r>
        <w:rPr>
          <w:rFonts w:asciiTheme="minorHAnsi" w:hAnsiTheme="minorHAnsi" w:cstheme="minorHAnsi"/>
          <w:szCs w:val="24"/>
        </w:rPr>
        <w:t xml:space="preserve"> which means that</w:t>
      </w:r>
      <w:r w:rsidR="00173A59">
        <w:rPr>
          <w:rFonts w:asciiTheme="minorHAnsi" w:hAnsiTheme="minorHAnsi" w:cstheme="minorHAnsi"/>
          <w:szCs w:val="24"/>
        </w:rPr>
        <w:t xml:space="preserve"> </w:t>
      </w:r>
      <w:r>
        <w:rPr>
          <w:rFonts w:asciiTheme="minorHAnsi" w:hAnsiTheme="minorHAnsi" w:cstheme="minorHAnsi"/>
          <w:szCs w:val="24"/>
        </w:rPr>
        <w:t xml:space="preserve">a </w:t>
      </w:r>
      <w:r w:rsidR="00173A59">
        <w:rPr>
          <w:rFonts w:asciiTheme="minorHAnsi" w:hAnsiTheme="minorHAnsi" w:cstheme="minorHAnsi"/>
          <w:szCs w:val="24"/>
        </w:rPr>
        <w:t>compete</w:t>
      </w:r>
      <w:r w:rsidR="00F9643B">
        <w:rPr>
          <w:rFonts w:asciiTheme="minorHAnsi" w:hAnsiTheme="minorHAnsi" w:cstheme="minorHAnsi"/>
          <w:szCs w:val="24"/>
        </w:rPr>
        <w:t>nc</w:t>
      </w:r>
      <w:r>
        <w:rPr>
          <w:rFonts w:asciiTheme="minorHAnsi" w:hAnsiTheme="minorHAnsi" w:cstheme="minorHAnsi"/>
          <w:szCs w:val="24"/>
        </w:rPr>
        <w:t xml:space="preserve">y framework </w:t>
      </w:r>
      <w:r w:rsidR="00F9643B">
        <w:rPr>
          <w:rFonts w:asciiTheme="minorHAnsi" w:hAnsiTheme="minorHAnsi" w:cstheme="minorHAnsi"/>
          <w:szCs w:val="24"/>
        </w:rPr>
        <w:t>wil</w:t>
      </w:r>
      <w:r>
        <w:rPr>
          <w:rFonts w:asciiTheme="minorHAnsi" w:hAnsiTheme="minorHAnsi" w:cstheme="minorHAnsi"/>
          <w:szCs w:val="24"/>
        </w:rPr>
        <w:t>l be used for assessment</w:t>
      </w:r>
      <w:r w:rsidR="00F9643B">
        <w:rPr>
          <w:rFonts w:asciiTheme="minorHAnsi" w:hAnsiTheme="minorHAnsi" w:cstheme="minorHAnsi"/>
          <w:szCs w:val="24"/>
        </w:rPr>
        <w:t>. Vitae’s</w:t>
      </w:r>
      <w:r>
        <w:rPr>
          <w:rFonts w:asciiTheme="minorHAnsi" w:hAnsiTheme="minorHAnsi" w:cstheme="minorHAnsi"/>
          <w:szCs w:val="24"/>
        </w:rPr>
        <w:t xml:space="preserve"> RDF will provide the framework against which evidence of engagement and competency will be assessed</w:t>
      </w:r>
      <w:r w:rsidR="00EA1200">
        <w:rPr>
          <w:rFonts w:asciiTheme="minorHAnsi" w:hAnsiTheme="minorHAnsi" w:cstheme="minorHAnsi"/>
          <w:szCs w:val="24"/>
        </w:rPr>
        <w:t>.</w:t>
      </w:r>
    </w:p>
    <w:p w14:paraId="171485F8" w14:textId="346185A6" w:rsidR="00D24C56" w:rsidRPr="00D24C56" w:rsidRDefault="00D24C56" w:rsidP="00D24C56">
      <w:pPr>
        <w:pStyle w:val="indent2"/>
        <w:numPr>
          <w:ilvl w:val="0"/>
          <w:numId w:val="5"/>
        </w:numPr>
        <w:tabs>
          <w:tab w:val="clear" w:pos="0"/>
          <w:tab w:val="clear" w:pos="720"/>
        </w:tabs>
        <w:spacing w:after="120"/>
        <w:ind w:left="357" w:hanging="357"/>
        <w:rPr>
          <w:rFonts w:asciiTheme="minorHAnsi" w:hAnsiTheme="minorHAnsi" w:cstheme="minorHAnsi"/>
          <w:szCs w:val="24"/>
        </w:rPr>
      </w:pPr>
      <w:r w:rsidRPr="00D24C56">
        <w:rPr>
          <w:rFonts w:asciiTheme="minorHAnsi" w:hAnsiTheme="minorHAnsi" w:cstheme="minorHAnsi"/>
          <w:szCs w:val="24"/>
        </w:rPr>
        <w:t>Summative assessment via portfolio of evidence and reflect</w:t>
      </w:r>
      <w:r w:rsidR="005B0517">
        <w:rPr>
          <w:rFonts w:asciiTheme="minorHAnsi" w:hAnsiTheme="minorHAnsi" w:cstheme="minorHAnsi"/>
          <w:szCs w:val="24"/>
        </w:rPr>
        <w:t>ion on Professional Researcher and Researcher Skills D</w:t>
      </w:r>
      <w:r w:rsidRPr="00D24C56">
        <w:rPr>
          <w:rFonts w:asciiTheme="minorHAnsi" w:hAnsiTheme="minorHAnsi" w:cstheme="minorHAnsi"/>
          <w:szCs w:val="24"/>
        </w:rPr>
        <w:t>evelopment workshop topics in action in student’s research or research discipline. This Portfolio will provide evidence of professional engagement</w:t>
      </w:r>
      <w:r w:rsidR="00EA1200">
        <w:rPr>
          <w:rFonts w:asciiTheme="minorHAnsi" w:hAnsiTheme="minorHAnsi" w:cstheme="minorHAnsi"/>
          <w:szCs w:val="24"/>
        </w:rPr>
        <w:t xml:space="preserve"> and must be passed to pass the module</w:t>
      </w:r>
      <w:r w:rsidRPr="00D24C56">
        <w:rPr>
          <w:rFonts w:asciiTheme="minorHAnsi" w:hAnsiTheme="minorHAnsi" w:cstheme="minorHAnsi"/>
          <w:szCs w:val="24"/>
        </w:rPr>
        <w:t>.</w:t>
      </w:r>
    </w:p>
    <w:p w14:paraId="09644A39" w14:textId="77777777" w:rsidR="00D24C56" w:rsidRPr="00F9643B" w:rsidRDefault="00D24C56" w:rsidP="00D24C56">
      <w:pPr>
        <w:pStyle w:val="indent2"/>
        <w:numPr>
          <w:ilvl w:val="0"/>
          <w:numId w:val="5"/>
        </w:numPr>
        <w:tabs>
          <w:tab w:val="clear" w:pos="0"/>
          <w:tab w:val="clear" w:pos="720"/>
        </w:tabs>
        <w:spacing w:after="120"/>
        <w:ind w:left="357" w:hanging="357"/>
        <w:rPr>
          <w:szCs w:val="24"/>
        </w:rPr>
      </w:pPr>
      <w:r w:rsidRPr="00F9643B">
        <w:rPr>
          <w:rFonts w:asciiTheme="minorHAnsi" w:hAnsiTheme="minorHAnsi" w:cstheme="minorHAnsi"/>
          <w:szCs w:val="24"/>
        </w:rPr>
        <w:t>Summative Assessment by case study of chosen aspect of Research Degrees Framework in action by presentation, demonstration, report or other appropriate format.  Assessed</w:t>
      </w:r>
      <w:r w:rsidR="005B0517" w:rsidRPr="00F9643B">
        <w:rPr>
          <w:rFonts w:asciiTheme="minorHAnsi" w:hAnsiTheme="minorHAnsi" w:cstheme="minorHAnsi"/>
          <w:szCs w:val="24"/>
        </w:rPr>
        <w:t xml:space="preserve"> by module team and peer-review</w:t>
      </w:r>
      <w:r w:rsidR="00EA1200" w:rsidRPr="00F9643B">
        <w:rPr>
          <w:rFonts w:asciiTheme="minorHAnsi" w:hAnsiTheme="minorHAnsi" w:cstheme="minorHAnsi"/>
          <w:szCs w:val="24"/>
        </w:rPr>
        <w:t>.</w:t>
      </w:r>
    </w:p>
    <w:sectPr w:rsidR="00D24C56" w:rsidRPr="00F9643B" w:rsidSect="003360CE">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2BAEC" w14:textId="77777777" w:rsidR="00A25228" w:rsidRDefault="00A25228" w:rsidP="007B5F04">
      <w:pPr>
        <w:spacing w:after="0" w:line="240" w:lineRule="auto"/>
      </w:pPr>
      <w:r>
        <w:separator/>
      </w:r>
    </w:p>
  </w:endnote>
  <w:endnote w:type="continuationSeparator" w:id="0">
    <w:p w14:paraId="0F6AF8EC" w14:textId="77777777" w:rsidR="00A25228" w:rsidRDefault="00A25228" w:rsidP="007B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B53F" w14:textId="77777777" w:rsidR="007B5F04" w:rsidRDefault="007B5F04" w:rsidP="00A050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76AFF" w14:textId="77777777" w:rsidR="007B5F04" w:rsidRDefault="007B5F04" w:rsidP="007B5F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C612" w14:textId="7F77528B" w:rsidR="007B5F04" w:rsidRDefault="007B5F04" w:rsidP="00A050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761">
      <w:rPr>
        <w:rStyle w:val="PageNumber"/>
        <w:noProof/>
      </w:rPr>
      <w:t>1</w:t>
    </w:r>
    <w:r>
      <w:rPr>
        <w:rStyle w:val="PageNumber"/>
      </w:rPr>
      <w:fldChar w:fldCharType="end"/>
    </w:r>
  </w:p>
  <w:p w14:paraId="22F18DEF" w14:textId="77777777" w:rsidR="007B5F04" w:rsidRDefault="007B5F04" w:rsidP="007B5F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30019" w14:textId="77777777" w:rsidR="00A25228" w:rsidRDefault="00A25228" w:rsidP="007B5F04">
      <w:pPr>
        <w:spacing w:after="0" w:line="240" w:lineRule="auto"/>
      </w:pPr>
      <w:r>
        <w:separator/>
      </w:r>
    </w:p>
  </w:footnote>
  <w:footnote w:type="continuationSeparator" w:id="0">
    <w:p w14:paraId="50150D1D" w14:textId="77777777" w:rsidR="00A25228" w:rsidRDefault="00A25228" w:rsidP="007B5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706E"/>
    <w:multiLevelType w:val="hybridMultilevel"/>
    <w:tmpl w:val="14E61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B249B"/>
    <w:multiLevelType w:val="hybridMultilevel"/>
    <w:tmpl w:val="29D8C8C8"/>
    <w:lvl w:ilvl="0" w:tplc="25DCF2C8">
      <w:start w:val="1"/>
      <w:numFmt w:val="decimal"/>
      <w:lvlText w:val="%1."/>
      <w:lvlJc w:val="left"/>
      <w:pPr>
        <w:tabs>
          <w:tab w:val="num" w:pos="720"/>
        </w:tabs>
        <w:ind w:left="720" w:hanging="360"/>
      </w:pPr>
    </w:lvl>
    <w:lvl w:ilvl="1" w:tplc="7AA6ACAC" w:tentative="1">
      <w:start w:val="1"/>
      <w:numFmt w:val="decimal"/>
      <w:lvlText w:val="%2."/>
      <w:lvlJc w:val="left"/>
      <w:pPr>
        <w:tabs>
          <w:tab w:val="num" w:pos="1440"/>
        </w:tabs>
        <w:ind w:left="1440" w:hanging="360"/>
      </w:pPr>
    </w:lvl>
    <w:lvl w:ilvl="2" w:tplc="E09E922C" w:tentative="1">
      <w:start w:val="1"/>
      <w:numFmt w:val="decimal"/>
      <w:lvlText w:val="%3."/>
      <w:lvlJc w:val="left"/>
      <w:pPr>
        <w:tabs>
          <w:tab w:val="num" w:pos="2160"/>
        </w:tabs>
        <w:ind w:left="2160" w:hanging="360"/>
      </w:pPr>
    </w:lvl>
    <w:lvl w:ilvl="3" w:tplc="073A7476" w:tentative="1">
      <w:start w:val="1"/>
      <w:numFmt w:val="decimal"/>
      <w:lvlText w:val="%4."/>
      <w:lvlJc w:val="left"/>
      <w:pPr>
        <w:tabs>
          <w:tab w:val="num" w:pos="2880"/>
        </w:tabs>
        <w:ind w:left="2880" w:hanging="360"/>
      </w:pPr>
    </w:lvl>
    <w:lvl w:ilvl="4" w:tplc="3B42E086" w:tentative="1">
      <w:start w:val="1"/>
      <w:numFmt w:val="decimal"/>
      <w:lvlText w:val="%5."/>
      <w:lvlJc w:val="left"/>
      <w:pPr>
        <w:tabs>
          <w:tab w:val="num" w:pos="3600"/>
        </w:tabs>
        <w:ind w:left="3600" w:hanging="360"/>
      </w:pPr>
    </w:lvl>
    <w:lvl w:ilvl="5" w:tplc="F0E2983A" w:tentative="1">
      <w:start w:val="1"/>
      <w:numFmt w:val="decimal"/>
      <w:lvlText w:val="%6."/>
      <w:lvlJc w:val="left"/>
      <w:pPr>
        <w:tabs>
          <w:tab w:val="num" w:pos="4320"/>
        </w:tabs>
        <w:ind w:left="4320" w:hanging="360"/>
      </w:pPr>
    </w:lvl>
    <w:lvl w:ilvl="6" w:tplc="4E80181A" w:tentative="1">
      <w:start w:val="1"/>
      <w:numFmt w:val="decimal"/>
      <w:lvlText w:val="%7."/>
      <w:lvlJc w:val="left"/>
      <w:pPr>
        <w:tabs>
          <w:tab w:val="num" w:pos="5040"/>
        </w:tabs>
        <w:ind w:left="5040" w:hanging="360"/>
      </w:pPr>
    </w:lvl>
    <w:lvl w:ilvl="7" w:tplc="07B4E8B6" w:tentative="1">
      <w:start w:val="1"/>
      <w:numFmt w:val="decimal"/>
      <w:lvlText w:val="%8."/>
      <w:lvlJc w:val="left"/>
      <w:pPr>
        <w:tabs>
          <w:tab w:val="num" w:pos="5760"/>
        </w:tabs>
        <w:ind w:left="5760" w:hanging="360"/>
      </w:pPr>
    </w:lvl>
    <w:lvl w:ilvl="8" w:tplc="507AE25E" w:tentative="1">
      <w:start w:val="1"/>
      <w:numFmt w:val="decimal"/>
      <w:lvlText w:val="%9."/>
      <w:lvlJc w:val="left"/>
      <w:pPr>
        <w:tabs>
          <w:tab w:val="num" w:pos="6480"/>
        </w:tabs>
        <w:ind w:left="6480" w:hanging="360"/>
      </w:pPr>
    </w:lvl>
  </w:abstractNum>
  <w:abstractNum w:abstractNumId="2" w15:restartNumberingAfterBreak="0">
    <w:nsid w:val="453A1526"/>
    <w:multiLevelType w:val="hybridMultilevel"/>
    <w:tmpl w:val="F89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FD2EE8"/>
    <w:multiLevelType w:val="hybridMultilevel"/>
    <w:tmpl w:val="15F0F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6E0FB9"/>
    <w:multiLevelType w:val="hybridMultilevel"/>
    <w:tmpl w:val="BA305776"/>
    <w:lvl w:ilvl="0" w:tplc="DAF6A74A">
      <w:start w:val="1"/>
      <w:numFmt w:val="decimal"/>
      <w:lvlText w:val="%1."/>
      <w:lvlJc w:val="left"/>
      <w:pPr>
        <w:tabs>
          <w:tab w:val="num" w:pos="720"/>
        </w:tabs>
        <w:ind w:left="720" w:hanging="360"/>
      </w:pPr>
    </w:lvl>
    <w:lvl w:ilvl="1" w:tplc="6AA842CA" w:tentative="1">
      <w:start w:val="1"/>
      <w:numFmt w:val="decimal"/>
      <w:lvlText w:val="%2."/>
      <w:lvlJc w:val="left"/>
      <w:pPr>
        <w:tabs>
          <w:tab w:val="num" w:pos="1440"/>
        </w:tabs>
        <w:ind w:left="1440" w:hanging="360"/>
      </w:pPr>
    </w:lvl>
    <w:lvl w:ilvl="2" w:tplc="B6706CF0" w:tentative="1">
      <w:start w:val="1"/>
      <w:numFmt w:val="decimal"/>
      <w:lvlText w:val="%3."/>
      <w:lvlJc w:val="left"/>
      <w:pPr>
        <w:tabs>
          <w:tab w:val="num" w:pos="2160"/>
        </w:tabs>
        <w:ind w:left="2160" w:hanging="360"/>
      </w:pPr>
    </w:lvl>
    <w:lvl w:ilvl="3" w:tplc="C0564FC4" w:tentative="1">
      <w:start w:val="1"/>
      <w:numFmt w:val="decimal"/>
      <w:lvlText w:val="%4."/>
      <w:lvlJc w:val="left"/>
      <w:pPr>
        <w:tabs>
          <w:tab w:val="num" w:pos="2880"/>
        </w:tabs>
        <w:ind w:left="2880" w:hanging="360"/>
      </w:pPr>
    </w:lvl>
    <w:lvl w:ilvl="4" w:tplc="8E0A9AE8" w:tentative="1">
      <w:start w:val="1"/>
      <w:numFmt w:val="decimal"/>
      <w:lvlText w:val="%5."/>
      <w:lvlJc w:val="left"/>
      <w:pPr>
        <w:tabs>
          <w:tab w:val="num" w:pos="3600"/>
        </w:tabs>
        <w:ind w:left="3600" w:hanging="360"/>
      </w:pPr>
    </w:lvl>
    <w:lvl w:ilvl="5" w:tplc="53C4DCF4" w:tentative="1">
      <w:start w:val="1"/>
      <w:numFmt w:val="decimal"/>
      <w:lvlText w:val="%6."/>
      <w:lvlJc w:val="left"/>
      <w:pPr>
        <w:tabs>
          <w:tab w:val="num" w:pos="4320"/>
        </w:tabs>
        <w:ind w:left="4320" w:hanging="360"/>
      </w:pPr>
    </w:lvl>
    <w:lvl w:ilvl="6" w:tplc="151E834A" w:tentative="1">
      <w:start w:val="1"/>
      <w:numFmt w:val="decimal"/>
      <w:lvlText w:val="%7."/>
      <w:lvlJc w:val="left"/>
      <w:pPr>
        <w:tabs>
          <w:tab w:val="num" w:pos="5040"/>
        </w:tabs>
        <w:ind w:left="5040" w:hanging="360"/>
      </w:pPr>
    </w:lvl>
    <w:lvl w:ilvl="7" w:tplc="393C2A20" w:tentative="1">
      <w:start w:val="1"/>
      <w:numFmt w:val="decimal"/>
      <w:lvlText w:val="%8."/>
      <w:lvlJc w:val="left"/>
      <w:pPr>
        <w:tabs>
          <w:tab w:val="num" w:pos="5760"/>
        </w:tabs>
        <w:ind w:left="5760" w:hanging="360"/>
      </w:pPr>
    </w:lvl>
    <w:lvl w:ilvl="8" w:tplc="66FC5332"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56"/>
    <w:rsid w:val="00000EB6"/>
    <w:rsid w:val="00030A51"/>
    <w:rsid w:val="000A77AA"/>
    <w:rsid w:val="00173A59"/>
    <w:rsid w:val="001E5FB1"/>
    <w:rsid w:val="00201CEC"/>
    <w:rsid w:val="002A55B0"/>
    <w:rsid w:val="002C7603"/>
    <w:rsid w:val="002F29EA"/>
    <w:rsid w:val="003360CE"/>
    <w:rsid w:val="00481F5D"/>
    <w:rsid w:val="00487C9A"/>
    <w:rsid w:val="005B0517"/>
    <w:rsid w:val="005C28D3"/>
    <w:rsid w:val="00646F4E"/>
    <w:rsid w:val="0065631E"/>
    <w:rsid w:val="007B5F04"/>
    <w:rsid w:val="0084143B"/>
    <w:rsid w:val="00862D50"/>
    <w:rsid w:val="008A6F98"/>
    <w:rsid w:val="008B3E5A"/>
    <w:rsid w:val="008B53CA"/>
    <w:rsid w:val="008F4278"/>
    <w:rsid w:val="009123C8"/>
    <w:rsid w:val="00932938"/>
    <w:rsid w:val="00A25228"/>
    <w:rsid w:val="00A73C0E"/>
    <w:rsid w:val="00A87FDD"/>
    <w:rsid w:val="00AC2F49"/>
    <w:rsid w:val="00B03614"/>
    <w:rsid w:val="00BB11CC"/>
    <w:rsid w:val="00C166C2"/>
    <w:rsid w:val="00C32255"/>
    <w:rsid w:val="00C35548"/>
    <w:rsid w:val="00D12446"/>
    <w:rsid w:val="00D24C56"/>
    <w:rsid w:val="00D753E2"/>
    <w:rsid w:val="00D97B27"/>
    <w:rsid w:val="00DB66C5"/>
    <w:rsid w:val="00E41C89"/>
    <w:rsid w:val="00E76B83"/>
    <w:rsid w:val="00EA1200"/>
    <w:rsid w:val="00EB5761"/>
    <w:rsid w:val="00F50305"/>
    <w:rsid w:val="00F87991"/>
    <w:rsid w:val="00F964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181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24C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C56"/>
    <w:rPr>
      <w:rFonts w:ascii="Tahoma" w:hAnsi="Tahoma" w:cs="Tahoma"/>
      <w:sz w:val="16"/>
      <w:szCs w:val="16"/>
    </w:rPr>
  </w:style>
  <w:style w:type="paragraph" w:styleId="ListParagraph">
    <w:name w:val="List Paragraph"/>
    <w:basedOn w:val="Normal"/>
    <w:uiPriority w:val="34"/>
    <w:qFormat/>
    <w:rsid w:val="00D24C56"/>
    <w:pPr>
      <w:ind w:left="720"/>
      <w:contextualSpacing/>
    </w:pPr>
  </w:style>
  <w:style w:type="paragraph" w:customStyle="1" w:styleId="indent2">
    <w:name w:val="indent2"/>
    <w:basedOn w:val="Normal"/>
    <w:rsid w:val="00D24C56"/>
    <w:pPr>
      <w:widowControl w:val="0"/>
      <w:tabs>
        <w:tab w:val="left" w:pos="0"/>
        <w:tab w:val="left" w:pos="720"/>
      </w:tabs>
      <w:spacing w:after="0" w:line="240" w:lineRule="auto"/>
    </w:pPr>
    <w:rPr>
      <w:rFonts w:ascii="Arial" w:eastAsia="Times New Roman" w:hAnsi="Arial" w:cs="Times New Roman"/>
      <w:sz w:val="24"/>
      <w:szCs w:val="20"/>
    </w:rPr>
  </w:style>
  <w:style w:type="character" w:styleId="Hyperlink">
    <w:name w:val="Hyperlink"/>
    <w:basedOn w:val="DefaultParagraphFont"/>
    <w:rsid w:val="00D24C56"/>
    <w:rPr>
      <w:color w:val="0000FF"/>
      <w:u w:val="single"/>
    </w:rPr>
  </w:style>
  <w:style w:type="table" w:styleId="TableGrid">
    <w:name w:val="Table Grid"/>
    <w:basedOn w:val="TableNormal"/>
    <w:uiPriority w:val="59"/>
    <w:rsid w:val="00D24C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4C56"/>
    <w:rPr>
      <w:color w:val="0000FF" w:themeColor="followedHyperlink"/>
      <w:u w:val="single"/>
    </w:rPr>
  </w:style>
  <w:style w:type="character" w:customStyle="1" w:styleId="Heading3Char">
    <w:name w:val="Heading 3 Char"/>
    <w:basedOn w:val="DefaultParagraphFont"/>
    <w:link w:val="Heading3"/>
    <w:uiPriority w:val="9"/>
    <w:rsid w:val="00D24C56"/>
    <w:rPr>
      <w:rFonts w:ascii="Times New Roman" w:eastAsia="Times New Roman" w:hAnsi="Times New Roman" w:cs="Times New Roman"/>
      <w:b/>
      <w:bCs/>
      <w:sz w:val="27"/>
      <w:szCs w:val="27"/>
      <w:lang w:eastAsia="en-GB"/>
    </w:rPr>
  </w:style>
  <w:style w:type="character" w:customStyle="1" w:styleId="ptbrand5">
    <w:name w:val="ptbrand5"/>
    <w:basedOn w:val="DefaultParagraphFont"/>
    <w:rsid w:val="00D24C56"/>
  </w:style>
  <w:style w:type="paragraph" w:styleId="Footer">
    <w:name w:val="footer"/>
    <w:basedOn w:val="Normal"/>
    <w:link w:val="FooterChar"/>
    <w:uiPriority w:val="99"/>
    <w:unhideWhenUsed/>
    <w:rsid w:val="007B5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F04"/>
  </w:style>
  <w:style w:type="character" w:styleId="PageNumber">
    <w:name w:val="page number"/>
    <w:basedOn w:val="DefaultParagraphFont"/>
    <w:uiPriority w:val="99"/>
    <w:semiHidden/>
    <w:unhideWhenUsed/>
    <w:rsid w:val="007B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http:/www.hm-treasury.gov.uk/set_for_success.htm" TargetMode="External"/><Relationship Id="rId13" Type="http://schemas.openxmlformats.org/officeDocument/2006/relationships/hyperlink" Target="http://www1.uwe.ac.uk/research/postgraduateresearchstudy/skillsdevelopment.aspx"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webarchive.nationalarchives.gov.uk/+/http:/www.bis.gov.uk/postgraduate-revi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ae.ac.uk/" TargetMode="External"/><Relationship Id="rId5" Type="http://schemas.openxmlformats.org/officeDocument/2006/relationships/footnotes" Target="footnotes.xml"/><Relationship Id="rId15" Type="http://schemas.openxmlformats.org/officeDocument/2006/relationships/hyperlink" Target="https://uwe.cloud.panopto.eu/Panopto/Pages/Home.aspx" TargetMode="External"/><Relationship Id="rId10" Type="http://schemas.openxmlformats.org/officeDocument/2006/relationships/hyperlink" Target="http://www.qaa.ac.uk/publications/informationandguidance/pages/quality-code-B11.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aa.ac.uk/Publications/InformationAndGuidance/Pages/Doctoral_characteristics.aspx" TargetMode="External"/><Relationship Id="rId14" Type="http://schemas.openxmlformats.org/officeDocument/2006/relationships/hyperlink" Target="http://info.uwe.ac.uk/events/eventlisting.aspx?categoryID=43"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A73F47-D899-4FC2-A2C8-40C8E09D6C8F}"/>
</file>

<file path=customXml/itemProps2.xml><?xml version="1.0" encoding="utf-8"?>
<ds:datastoreItem xmlns:ds="http://schemas.openxmlformats.org/officeDocument/2006/customXml" ds:itemID="{9C246B10-8A42-4E1B-A62B-E146BD58DB12}"/>
</file>

<file path=customXml/itemProps3.xml><?xml version="1.0" encoding="utf-8"?>
<ds:datastoreItem xmlns:ds="http://schemas.openxmlformats.org/officeDocument/2006/customXml" ds:itemID="{496E904D-DCCE-43BA-AEE9-A7D640B29987}"/>
</file>

<file path=docProps/app.xml><?xml version="1.0" encoding="utf-8"?>
<Properties xmlns="http://schemas.openxmlformats.org/officeDocument/2006/extended-properties" xmlns:vt="http://schemas.openxmlformats.org/officeDocument/2006/docPropsVTypes">
  <Template>Normal</Template>
  <TotalTime>2</TotalTime>
  <Pages>6</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Willey</dc:creator>
  <cp:lastModifiedBy>Caterina Vettori</cp:lastModifiedBy>
  <cp:revision>2</cp:revision>
  <dcterms:created xsi:type="dcterms:W3CDTF">2017-11-07T12:04:00Z</dcterms:created>
  <dcterms:modified xsi:type="dcterms:W3CDTF">2017-11-07T12:04:00Z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ies>
</file>