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2CE" w:rsidRDefault="004C6420" w:rsidP="00F325CB">
      <w:pPr>
        <w:jc w:val="both"/>
        <w:rPr>
          <w:rFonts w:ascii="Frutiger 45 Light" w:hAnsi="Frutiger 45 Light"/>
        </w:rPr>
      </w:pPr>
      <w:bookmarkStart w:id="0" w:name="_GoBack"/>
      <w:bookmarkEnd w:id="0"/>
      <w:r w:rsidRPr="00C76BA6">
        <w:rPr>
          <w:rFonts w:ascii="Frutiger 45 Light" w:hAnsi="Frutiger 45 Light"/>
          <w:noProof/>
          <w:lang w:eastAsia="en-GB"/>
        </w:rPr>
        <mc:AlternateContent>
          <mc:Choice Requires="wps">
            <w:drawing>
              <wp:anchor distT="0" distB="0" distL="114300" distR="114300" simplePos="0" relativeHeight="251656704" behindDoc="0" locked="0" layoutInCell="1" allowOverlap="1">
                <wp:simplePos x="0" y="0"/>
                <wp:positionH relativeFrom="column">
                  <wp:posOffset>139065</wp:posOffset>
                </wp:positionH>
                <wp:positionV relativeFrom="paragraph">
                  <wp:posOffset>51435</wp:posOffset>
                </wp:positionV>
                <wp:extent cx="2908300" cy="457200"/>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9D4" w:rsidRPr="00721158" w:rsidRDefault="004C6420" w:rsidP="00721158">
                            <w:r w:rsidRPr="00721158">
                              <w:rPr>
                                <w:noProof/>
                                <w:lang w:eastAsia="en-GB"/>
                              </w:rPr>
                              <w:drawing>
                                <wp:inline distT="0" distB="0" distL="0" distR="0">
                                  <wp:extent cx="27241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62000"/>
                                          </a:xfrm>
                                          <a:prstGeom prst="rect">
                                            <a:avLst/>
                                          </a:prstGeom>
                                          <a:noFill/>
                                          <a:ln>
                                            <a:noFill/>
                                          </a:ln>
                                        </pic:spPr>
                                      </pic:pic>
                                    </a:graphicData>
                                  </a:graphic>
                                </wp:inline>
                              </w:drawing>
                            </w:r>
                            <w:r w:rsidRPr="00721158">
                              <w:rPr>
                                <w:noProof/>
                                <w:lang w:eastAsia="en-GB"/>
                              </w:rPr>
                              <w:drawing>
                                <wp:inline distT="0" distB="0" distL="0" distR="0">
                                  <wp:extent cx="1304925"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61950"/>
                                          </a:xfrm>
                                          <a:prstGeom prst="rect">
                                            <a:avLst/>
                                          </a:prstGeom>
                                          <a:noFill/>
                                          <a:ln>
                                            <a:noFill/>
                                          </a:ln>
                                        </pic:spPr>
                                      </pic:pic>
                                    </a:graphicData>
                                  </a:graphic>
                                </wp:inline>
                              </w:drawing>
                            </w:r>
                            <w:r w:rsidRPr="00721158">
                              <w:rPr>
                                <w:noProof/>
                                <w:lang w:eastAsia="en-GB"/>
                              </w:rPr>
                              <w:drawing>
                                <wp:inline distT="0" distB="0" distL="0" distR="0">
                                  <wp:extent cx="130492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61950"/>
                                          </a:xfrm>
                                          <a:prstGeom prst="rect">
                                            <a:avLst/>
                                          </a:prstGeom>
                                          <a:noFill/>
                                          <a:ln>
                                            <a:noFill/>
                                          </a:ln>
                                        </pic:spPr>
                                      </pic:pic>
                                    </a:graphicData>
                                  </a:graphic>
                                </wp:inline>
                              </w:drawing>
                            </w:r>
                            <w:r w:rsidRPr="00721158">
                              <w:rPr>
                                <w:noProof/>
                                <w:lang w:eastAsia="en-GB"/>
                              </w:rPr>
                              <w:drawing>
                                <wp:inline distT="0" distB="0" distL="0" distR="0">
                                  <wp:extent cx="4276725" cy="1628775"/>
                                  <wp:effectExtent l="0" t="0" r="0" b="0"/>
                                  <wp:docPr id="4" name="Picture 4" descr="NAS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B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1628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95pt;margin-top:4.05pt;width:22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kb3gAIAAA8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" stroked="f">
                <v:textbox>
                  <w:txbxContent>
                    <w:p w:rsidR="009459D4" w:rsidRPr="00721158" w:rsidRDefault="004C6420" w:rsidP="00721158">
                      <w:r w:rsidRPr="00721158">
                        <w:rPr>
                          <w:noProof/>
                          <w:lang w:eastAsia="en-GB"/>
                        </w:rPr>
                        <w:drawing>
                          <wp:inline distT="0" distB="0" distL="0" distR="0">
                            <wp:extent cx="272415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62000"/>
                                    </a:xfrm>
                                    <a:prstGeom prst="rect">
                                      <a:avLst/>
                                    </a:prstGeom>
                                    <a:noFill/>
                                    <a:ln>
                                      <a:noFill/>
                                    </a:ln>
                                  </pic:spPr>
                                </pic:pic>
                              </a:graphicData>
                            </a:graphic>
                          </wp:inline>
                        </w:drawing>
                      </w:r>
                      <w:r w:rsidRPr="00721158">
                        <w:rPr>
                          <w:noProof/>
                          <w:lang w:eastAsia="en-GB"/>
                        </w:rPr>
                        <w:drawing>
                          <wp:inline distT="0" distB="0" distL="0" distR="0">
                            <wp:extent cx="1304925"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61950"/>
                                    </a:xfrm>
                                    <a:prstGeom prst="rect">
                                      <a:avLst/>
                                    </a:prstGeom>
                                    <a:noFill/>
                                    <a:ln>
                                      <a:noFill/>
                                    </a:ln>
                                  </pic:spPr>
                                </pic:pic>
                              </a:graphicData>
                            </a:graphic>
                          </wp:inline>
                        </w:drawing>
                      </w:r>
                      <w:r w:rsidRPr="00721158">
                        <w:rPr>
                          <w:noProof/>
                          <w:lang w:eastAsia="en-GB"/>
                        </w:rPr>
                        <w:drawing>
                          <wp:inline distT="0" distB="0" distL="0" distR="0">
                            <wp:extent cx="1304925" cy="36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361950"/>
                                    </a:xfrm>
                                    <a:prstGeom prst="rect">
                                      <a:avLst/>
                                    </a:prstGeom>
                                    <a:noFill/>
                                    <a:ln>
                                      <a:noFill/>
                                    </a:ln>
                                  </pic:spPr>
                                </pic:pic>
                              </a:graphicData>
                            </a:graphic>
                          </wp:inline>
                        </w:drawing>
                      </w:r>
                      <w:r w:rsidRPr="00721158">
                        <w:rPr>
                          <w:noProof/>
                          <w:lang w:eastAsia="en-GB"/>
                        </w:rPr>
                        <w:drawing>
                          <wp:inline distT="0" distB="0" distL="0" distR="0">
                            <wp:extent cx="4276725" cy="1628775"/>
                            <wp:effectExtent l="0" t="0" r="0" b="0"/>
                            <wp:docPr id="4" name="Picture 4" descr="NAS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SBT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6725" cy="1628775"/>
                                    </a:xfrm>
                                    <a:prstGeom prst="rect">
                                      <a:avLst/>
                                    </a:prstGeom>
                                    <a:noFill/>
                                    <a:ln>
                                      <a:noFill/>
                                    </a:ln>
                                  </pic:spPr>
                                </pic:pic>
                              </a:graphicData>
                            </a:graphic>
                          </wp:inline>
                        </w:drawing>
                      </w:r>
                    </w:p>
                  </w:txbxContent>
                </v:textbox>
              </v:shape>
            </w:pict>
          </mc:Fallback>
        </mc:AlternateConten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CA4405" w:rsidRDefault="004C6420" w:rsidP="00CA4405">
      <w:r>
        <w:rPr>
          <w:noProof/>
          <w:lang w:eastAsia="en-GB"/>
        </w:rPr>
        <w:drawing>
          <wp:anchor distT="0" distB="0" distL="114300" distR="114300" simplePos="0" relativeHeight="251658752" behindDoc="0" locked="0" layoutInCell="1" allowOverlap="1">
            <wp:simplePos x="0" y="0"/>
            <wp:positionH relativeFrom="column">
              <wp:posOffset>3842385</wp:posOffset>
            </wp:positionH>
            <wp:positionV relativeFrom="paragraph">
              <wp:posOffset>42545</wp:posOffset>
            </wp:positionV>
            <wp:extent cx="1900555" cy="1110615"/>
            <wp:effectExtent l="0" t="0" r="0" b="0"/>
            <wp:wrapNone/>
            <wp:docPr id="8" name="Picture 8"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CET_LOGO_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055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-31115</wp:posOffset>
            </wp:positionH>
            <wp:positionV relativeFrom="paragraph">
              <wp:posOffset>-10795</wp:posOffset>
            </wp:positionV>
            <wp:extent cx="3432810" cy="1315085"/>
            <wp:effectExtent l="0" t="0" r="0" b="0"/>
            <wp:wrapNone/>
            <wp:docPr id="7" name="Picture 7" descr="NASB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BTT"/>
                    <pic:cNvPicPr>
                      <a:picLocks noChangeAspect="1" noChangeArrowheads="1"/>
                    </pic:cNvPicPr>
                  </pic:nvPicPr>
                  <pic:blipFill>
                    <a:blip r:embed="rId9" r:link="rId11">
                      <a:extLst>
                        <a:ext uri="{28A0092B-C50C-407E-A947-70E740481C1C}">
                          <a14:useLocalDpi xmlns:a14="http://schemas.microsoft.com/office/drawing/2010/main" val="0"/>
                        </a:ext>
                      </a:extLst>
                    </a:blip>
                    <a:srcRect/>
                    <a:stretch>
                      <a:fillRect/>
                    </a:stretch>
                  </pic:blipFill>
                  <pic:spPr bwMode="auto">
                    <a:xfrm>
                      <a:off x="0" y="0"/>
                      <a:ext cx="3432810" cy="1315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4405" w:rsidRDefault="00CA4405" w:rsidP="00CA4405"/>
    <w:p w:rsidR="00CA4405" w:rsidRDefault="00CA4405" w:rsidP="00CA4405"/>
    <w:p w:rsidR="00CA4405" w:rsidRDefault="00CA4405" w:rsidP="00CA4405"/>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C961EB" w:rsidRDefault="00C961EB"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CA4405" w:rsidRDefault="00CA4405" w:rsidP="00B6401E">
      <w:pPr>
        <w:jc w:val="center"/>
        <w:rPr>
          <w:rFonts w:ascii="Arial" w:hAnsi="Arial" w:cs="Arial"/>
          <w:b/>
          <w:sz w:val="20"/>
          <w:szCs w:val="20"/>
        </w:rPr>
      </w:pPr>
    </w:p>
    <w:p w:rsidR="00F41BF4" w:rsidRPr="00F645E1" w:rsidRDefault="00F41BF4" w:rsidP="00B6401E">
      <w:pPr>
        <w:jc w:val="center"/>
        <w:rPr>
          <w:rFonts w:ascii="Arial" w:hAnsi="Arial" w:cs="Arial"/>
          <w:b/>
        </w:rPr>
      </w:pPr>
    </w:p>
    <w:p w:rsidR="00003F16" w:rsidRPr="000C0BA6" w:rsidRDefault="00003F16" w:rsidP="00003F16">
      <w:pPr>
        <w:rPr>
          <w:rFonts w:ascii="Arial" w:hAnsi="Arial" w:cs="Arial"/>
          <w:b/>
        </w:rPr>
      </w:pPr>
      <w:r w:rsidRPr="000C0BA6">
        <w:rPr>
          <w:rFonts w:ascii="Arial" w:hAnsi="Arial" w:cs="Arial"/>
          <w:b/>
          <w:u w:val="single"/>
        </w:rPr>
        <w:t>DBS</w:t>
      </w:r>
      <w:r w:rsidR="00021733" w:rsidRPr="000C0BA6">
        <w:rPr>
          <w:rFonts w:ascii="Arial" w:hAnsi="Arial" w:cs="Arial"/>
          <w:b/>
          <w:u w:val="single"/>
        </w:rPr>
        <w:t xml:space="preserve"> and child protection issues relating to </w:t>
      </w:r>
      <w:r w:rsidRPr="000C0BA6">
        <w:rPr>
          <w:rFonts w:ascii="Arial" w:hAnsi="Arial" w:cs="Arial"/>
          <w:b/>
          <w:u w:val="single"/>
        </w:rPr>
        <w:t>initial teacher training (ITT) trainees</w:t>
      </w:r>
      <w:r w:rsidR="00874B01" w:rsidRPr="000C0BA6">
        <w:rPr>
          <w:rFonts w:ascii="Arial" w:hAnsi="Arial" w:cs="Arial"/>
          <w:b/>
          <w:u w:val="single"/>
        </w:rPr>
        <w:t>: Up</w:t>
      </w:r>
      <w:r w:rsidR="00CA4405" w:rsidRPr="000C0BA6">
        <w:rPr>
          <w:rFonts w:ascii="Arial" w:hAnsi="Arial" w:cs="Arial"/>
          <w:b/>
          <w:u w:val="single"/>
        </w:rPr>
        <w:t>d</w:t>
      </w:r>
      <w:r w:rsidR="00874B01" w:rsidRPr="000C0BA6">
        <w:rPr>
          <w:rFonts w:ascii="Arial" w:hAnsi="Arial" w:cs="Arial"/>
          <w:b/>
          <w:u w:val="single"/>
        </w:rPr>
        <w:t>ated guidance from UCET and NASBTT</w:t>
      </w:r>
      <w:r w:rsidRPr="000C0BA6">
        <w:rPr>
          <w:rFonts w:ascii="Arial" w:hAnsi="Arial" w:cs="Arial"/>
          <w:b/>
          <w:u w:val="single"/>
        </w:rPr>
        <w:t xml:space="preserve"> </w:t>
      </w:r>
    </w:p>
    <w:p w:rsidR="00003F16" w:rsidRPr="000C0BA6" w:rsidRDefault="00003F16" w:rsidP="00003F16">
      <w:pPr>
        <w:rPr>
          <w:rFonts w:ascii="Arial" w:hAnsi="Arial" w:cs="Arial"/>
          <w:b/>
        </w:rPr>
      </w:pPr>
    </w:p>
    <w:p w:rsidR="00003F16" w:rsidRPr="000C0BA6" w:rsidRDefault="00003F16" w:rsidP="00003F16">
      <w:pPr>
        <w:rPr>
          <w:rFonts w:ascii="Arial" w:hAnsi="Arial" w:cs="Arial"/>
          <w:b/>
        </w:rPr>
      </w:pPr>
      <w:r w:rsidRPr="000C0BA6">
        <w:rPr>
          <w:rFonts w:ascii="Arial" w:hAnsi="Arial" w:cs="Arial"/>
          <w:b/>
        </w:rPr>
        <w:t>Introduction</w:t>
      </w:r>
    </w:p>
    <w:p w:rsidR="00003F16" w:rsidRPr="000C0BA6" w:rsidRDefault="00003F16" w:rsidP="00003F16">
      <w:pPr>
        <w:rPr>
          <w:rFonts w:ascii="Arial" w:hAnsi="Arial" w:cs="Arial"/>
        </w:rPr>
      </w:pPr>
    </w:p>
    <w:p w:rsidR="00003F16" w:rsidRPr="000C0BA6" w:rsidRDefault="00003F16" w:rsidP="00003F16">
      <w:pPr>
        <w:rPr>
          <w:rFonts w:ascii="Arial" w:hAnsi="Arial" w:cs="Arial"/>
        </w:rPr>
      </w:pPr>
      <w:r w:rsidRPr="000C0BA6">
        <w:rPr>
          <w:rFonts w:ascii="Arial" w:hAnsi="Arial" w:cs="Arial"/>
        </w:rPr>
        <w:t>This leaflet updates ITT providers, local authorities</w:t>
      </w:r>
      <w:r w:rsidR="00DD5487" w:rsidRPr="000C0BA6">
        <w:rPr>
          <w:rFonts w:ascii="Arial" w:hAnsi="Arial" w:cs="Arial"/>
        </w:rPr>
        <w:t xml:space="preserve">, </w:t>
      </w:r>
      <w:r w:rsidRPr="000C0BA6">
        <w:rPr>
          <w:rFonts w:ascii="Arial" w:hAnsi="Arial" w:cs="Arial"/>
        </w:rPr>
        <w:t>schools</w:t>
      </w:r>
      <w:r w:rsidR="00DD5487" w:rsidRPr="000C0BA6">
        <w:rPr>
          <w:rFonts w:ascii="Arial" w:hAnsi="Arial" w:cs="Arial"/>
        </w:rPr>
        <w:t xml:space="preserve">, colleges and others </w:t>
      </w:r>
      <w:r w:rsidRPr="000C0BA6">
        <w:rPr>
          <w:rFonts w:ascii="Arial" w:hAnsi="Arial" w:cs="Arial"/>
        </w:rPr>
        <w:t xml:space="preserve">on requirements in respect of DBS checks and disqualification from childcare as they impact on student and trainee teachers. It supersedes </w:t>
      </w:r>
      <w:r w:rsidR="00874B01" w:rsidRPr="000C0BA6">
        <w:rPr>
          <w:rFonts w:ascii="Arial" w:hAnsi="Arial" w:cs="Arial"/>
        </w:rPr>
        <w:t xml:space="preserve">previous </w:t>
      </w:r>
      <w:r w:rsidR="004A6EB0" w:rsidRPr="000C0BA6">
        <w:rPr>
          <w:rFonts w:ascii="Arial" w:hAnsi="Arial" w:cs="Arial"/>
        </w:rPr>
        <w:t xml:space="preserve">guidance </w:t>
      </w:r>
      <w:r w:rsidRPr="000C0BA6">
        <w:rPr>
          <w:rFonts w:ascii="Arial" w:hAnsi="Arial" w:cs="Arial"/>
        </w:rPr>
        <w:t xml:space="preserve">issued </w:t>
      </w:r>
      <w:r w:rsidR="00874B01" w:rsidRPr="000C0BA6">
        <w:rPr>
          <w:rFonts w:ascii="Arial" w:hAnsi="Arial" w:cs="Arial"/>
        </w:rPr>
        <w:t>by both UCET and NASBTT</w:t>
      </w:r>
      <w:r w:rsidRPr="000C0BA6">
        <w:rPr>
          <w:rFonts w:ascii="Arial" w:hAnsi="Arial" w:cs="Arial"/>
        </w:rPr>
        <w:t>.  It does not represent a comprehensive explanation of the DBS</w:t>
      </w:r>
      <w:r w:rsidR="00727C0E" w:rsidRPr="000C0BA6">
        <w:rPr>
          <w:rFonts w:ascii="Arial" w:hAnsi="Arial" w:cs="Arial"/>
        </w:rPr>
        <w:t>, prohibition</w:t>
      </w:r>
      <w:r w:rsidRPr="000C0BA6">
        <w:rPr>
          <w:rFonts w:ascii="Arial" w:hAnsi="Arial" w:cs="Arial"/>
        </w:rPr>
        <w:t xml:space="preserve"> and criminal records check requirements and should be read alongside relevant statutory guidance and advice.</w:t>
      </w:r>
    </w:p>
    <w:p w:rsidR="00003F16" w:rsidRPr="000C0BA6" w:rsidRDefault="00003F16" w:rsidP="00003F16">
      <w:pPr>
        <w:rPr>
          <w:rFonts w:ascii="Arial" w:hAnsi="Arial" w:cs="Arial"/>
        </w:rPr>
      </w:pPr>
    </w:p>
    <w:p w:rsidR="00003F16" w:rsidRPr="000C0BA6" w:rsidRDefault="00DC4994" w:rsidP="00003F16">
      <w:pPr>
        <w:rPr>
          <w:rFonts w:ascii="Arial" w:hAnsi="Arial" w:cs="Arial"/>
        </w:rPr>
      </w:pPr>
      <w:r w:rsidRPr="000C0BA6">
        <w:rPr>
          <w:rFonts w:ascii="Arial" w:hAnsi="Arial" w:cs="Arial"/>
        </w:rPr>
        <w:t>K</w:t>
      </w:r>
      <w:r w:rsidR="00003F16" w:rsidRPr="000C0BA6">
        <w:rPr>
          <w:rFonts w:ascii="Arial" w:hAnsi="Arial" w:cs="Arial"/>
        </w:rPr>
        <w:t xml:space="preserve">ey </w:t>
      </w:r>
      <w:r w:rsidR="009459D4" w:rsidRPr="000C0BA6">
        <w:rPr>
          <w:rFonts w:ascii="Arial" w:hAnsi="Arial" w:cs="Arial"/>
        </w:rPr>
        <w:t>points</w:t>
      </w:r>
      <w:r w:rsidRPr="000C0BA6">
        <w:rPr>
          <w:rFonts w:ascii="Arial" w:hAnsi="Arial" w:cs="Arial"/>
        </w:rPr>
        <w:t xml:space="preserve">: </w:t>
      </w:r>
    </w:p>
    <w:p w:rsidR="00003F16" w:rsidRPr="000C0BA6" w:rsidRDefault="00003F16" w:rsidP="00003F16">
      <w:pPr>
        <w:rPr>
          <w:rFonts w:ascii="Arial" w:hAnsi="Arial" w:cs="Arial"/>
        </w:rPr>
      </w:pPr>
    </w:p>
    <w:p w:rsidR="00DD5487" w:rsidRPr="000C0BA6" w:rsidRDefault="00DD5487" w:rsidP="00003F16">
      <w:pPr>
        <w:numPr>
          <w:ilvl w:val="0"/>
          <w:numId w:val="34"/>
        </w:numPr>
        <w:rPr>
          <w:rFonts w:ascii="Arial" w:hAnsi="Arial" w:cs="Arial"/>
        </w:rPr>
      </w:pPr>
      <w:r w:rsidRPr="000C0BA6">
        <w:rPr>
          <w:rFonts w:ascii="Arial" w:hAnsi="Arial" w:cs="Arial"/>
        </w:rPr>
        <w:t xml:space="preserve">ITT </w:t>
      </w:r>
      <w:r w:rsidR="00C33F65" w:rsidRPr="000C0BA6">
        <w:rPr>
          <w:rFonts w:ascii="Arial" w:hAnsi="Arial" w:cs="Arial"/>
        </w:rPr>
        <w:t xml:space="preserve">providers </w:t>
      </w:r>
      <w:r w:rsidR="007A5B92" w:rsidRPr="000C0BA6">
        <w:rPr>
          <w:rFonts w:ascii="Arial" w:hAnsi="Arial" w:cs="Arial"/>
        </w:rPr>
        <w:t xml:space="preserve">are </w:t>
      </w:r>
      <w:r w:rsidRPr="000C0BA6">
        <w:rPr>
          <w:rFonts w:ascii="Arial" w:hAnsi="Arial" w:cs="Arial"/>
        </w:rPr>
        <w:t xml:space="preserve">responsible for ensuring that appropriate DBS checks </w:t>
      </w:r>
      <w:r w:rsidR="00CD72E6" w:rsidRPr="000C0BA6">
        <w:rPr>
          <w:rFonts w:ascii="Arial" w:hAnsi="Arial" w:cs="Arial"/>
        </w:rPr>
        <w:t xml:space="preserve">(including checks of the barred list) </w:t>
      </w:r>
      <w:r w:rsidRPr="000C0BA6">
        <w:rPr>
          <w:rFonts w:ascii="Arial" w:hAnsi="Arial" w:cs="Arial"/>
        </w:rPr>
        <w:t xml:space="preserve">have been completed </w:t>
      </w:r>
      <w:r w:rsidR="00DC4994" w:rsidRPr="000C0BA6">
        <w:rPr>
          <w:rFonts w:ascii="Arial" w:hAnsi="Arial" w:cs="Arial"/>
        </w:rPr>
        <w:t>for fee paying trainees</w:t>
      </w:r>
      <w:r w:rsidR="005F0D37" w:rsidRPr="000C0BA6">
        <w:rPr>
          <w:rFonts w:ascii="Arial" w:hAnsi="Arial" w:cs="Arial"/>
        </w:rPr>
        <w:t>,</w:t>
      </w:r>
      <w:r w:rsidR="00DC4994" w:rsidRPr="000C0BA6">
        <w:rPr>
          <w:rFonts w:ascii="Arial" w:hAnsi="Arial" w:cs="Arial"/>
        </w:rPr>
        <w:t xml:space="preserve"> </w:t>
      </w:r>
      <w:r w:rsidRPr="000C0BA6">
        <w:rPr>
          <w:rFonts w:ascii="Arial" w:hAnsi="Arial" w:cs="Arial"/>
        </w:rPr>
        <w:t>and to inform partner schools and colleges that they have be</w:t>
      </w:r>
      <w:r w:rsidR="00D660A0" w:rsidRPr="000C0BA6">
        <w:rPr>
          <w:rFonts w:ascii="Arial" w:hAnsi="Arial" w:cs="Arial"/>
        </w:rPr>
        <w:t>e</w:t>
      </w:r>
      <w:r w:rsidRPr="000C0BA6">
        <w:rPr>
          <w:rFonts w:ascii="Arial" w:hAnsi="Arial" w:cs="Arial"/>
        </w:rPr>
        <w:t xml:space="preserve">n completed. </w:t>
      </w:r>
      <w:r w:rsidR="008253F5" w:rsidRPr="000C0BA6">
        <w:rPr>
          <w:rFonts w:ascii="Arial" w:hAnsi="Arial" w:cs="Arial"/>
        </w:rPr>
        <w:t>S</w:t>
      </w:r>
      <w:r w:rsidRPr="000C0BA6">
        <w:rPr>
          <w:rFonts w:ascii="Arial" w:hAnsi="Arial" w:cs="Arial"/>
        </w:rPr>
        <w:t xml:space="preserve">chools and colleges </w:t>
      </w:r>
      <w:r w:rsidR="008253F5" w:rsidRPr="000C0BA6">
        <w:rPr>
          <w:rFonts w:ascii="Arial" w:hAnsi="Arial" w:cs="Arial"/>
        </w:rPr>
        <w:t>are a</w:t>
      </w:r>
      <w:r w:rsidR="007A5B92" w:rsidRPr="000C0BA6">
        <w:rPr>
          <w:rFonts w:ascii="Arial" w:hAnsi="Arial" w:cs="Arial"/>
        </w:rPr>
        <w:t xml:space="preserve">ble </w:t>
      </w:r>
      <w:r w:rsidRPr="000C0BA6">
        <w:rPr>
          <w:rFonts w:ascii="Arial" w:hAnsi="Arial" w:cs="Arial"/>
        </w:rPr>
        <w:t xml:space="preserve">to record this fact </w:t>
      </w:r>
      <w:r w:rsidR="00D660A0" w:rsidRPr="000C0BA6">
        <w:rPr>
          <w:rFonts w:ascii="Arial" w:hAnsi="Arial" w:cs="Arial"/>
        </w:rPr>
        <w:t>i</w:t>
      </w:r>
      <w:r w:rsidRPr="000C0BA6">
        <w:rPr>
          <w:rFonts w:ascii="Arial" w:hAnsi="Arial" w:cs="Arial"/>
        </w:rPr>
        <w:t>n their central record</w:t>
      </w:r>
      <w:r w:rsidR="008253F5" w:rsidRPr="000C0BA6">
        <w:rPr>
          <w:rFonts w:ascii="Arial" w:hAnsi="Arial" w:cs="Arial"/>
        </w:rPr>
        <w:t>, although they are not obliged to do so</w:t>
      </w:r>
      <w:r w:rsidRPr="000C0BA6">
        <w:rPr>
          <w:rFonts w:ascii="Arial" w:hAnsi="Arial" w:cs="Arial"/>
        </w:rPr>
        <w:t xml:space="preserve"> </w:t>
      </w:r>
    </w:p>
    <w:p w:rsidR="00003F16" w:rsidRPr="000C0BA6" w:rsidRDefault="00003F16" w:rsidP="00003F16">
      <w:pPr>
        <w:numPr>
          <w:ilvl w:val="0"/>
          <w:numId w:val="34"/>
        </w:numPr>
        <w:rPr>
          <w:rFonts w:ascii="Arial" w:hAnsi="Arial" w:cs="Arial"/>
        </w:rPr>
      </w:pPr>
      <w:r w:rsidRPr="000C0BA6">
        <w:rPr>
          <w:rFonts w:ascii="Arial" w:hAnsi="Arial" w:cs="Arial"/>
        </w:rPr>
        <w:t>IT</w:t>
      </w:r>
      <w:r w:rsidR="00BC3218" w:rsidRPr="000C0BA6">
        <w:rPr>
          <w:rFonts w:ascii="Arial" w:hAnsi="Arial" w:cs="Arial"/>
        </w:rPr>
        <w:t>T</w:t>
      </w:r>
      <w:r w:rsidRPr="000C0BA6">
        <w:rPr>
          <w:rFonts w:ascii="Arial" w:hAnsi="Arial" w:cs="Arial"/>
        </w:rPr>
        <w:t xml:space="preserve"> providers </w:t>
      </w:r>
      <w:r w:rsidR="00C33F65" w:rsidRPr="000C0BA6">
        <w:rPr>
          <w:rFonts w:ascii="Arial" w:hAnsi="Arial" w:cs="Arial"/>
        </w:rPr>
        <w:t>are, with the permission of the trainee,</w:t>
      </w:r>
      <w:r w:rsidR="007A5B92" w:rsidRPr="000C0BA6">
        <w:rPr>
          <w:rFonts w:ascii="Arial" w:hAnsi="Arial" w:cs="Arial"/>
        </w:rPr>
        <w:t xml:space="preserve"> </w:t>
      </w:r>
      <w:r w:rsidR="00C33F65" w:rsidRPr="000C0BA6">
        <w:rPr>
          <w:rFonts w:ascii="Arial" w:hAnsi="Arial" w:cs="Arial"/>
        </w:rPr>
        <w:t xml:space="preserve">able to </w:t>
      </w:r>
      <w:r w:rsidRPr="000C0BA6">
        <w:rPr>
          <w:rFonts w:ascii="Arial" w:hAnsi="Arial" w:cs="Arial"/>
        </w:rPr>
        <w:t>share information relating to the level, date and number of DBS checks</w:t>
      </w:r>
      <w:r w:rsidR="00CD72E6" w:rsidRPr="000C0BA6">
        <w:rPr>
          <w:rFonts w:ascii="Arial" w:hAnsi="Arial" w:cs="Arial"/>
        </w:rPr>
        <w:t xml:space="preserve">. </w:t>
      </w:r>
      <w:r w:rsidR="00DC4994" w:rsidRPr="000C0BA6">
        <w:rPr>
          <w:rFonts w:ascii="Arial" w:hAnsi="Arial" w:cs="Arial"/>
        </w:rPr>
        <w:t xml:space="preserve"> </w:t>
      </w:r>
      <w:r w:rsidR="00677185" w:rsidRPr="000C0BA6">
        <w:rPr>
          <w:rFonts w:ascii="Arial" w:hAnsi="Arial" w:cs="Arial"/>
        </w:rPr>
        <w:t xml:space="preserve"> </w:t>
      </w:r>
    </w:p>
    <w:p w:rsidR="00736840" w:rsidRPr="000C0BA6" w:rsidRDefault="00736840" w:rsidP="00CD72E6">
      <w:pPr>
        <w:numPr>
          <w:ilvl w:val="0"/>
          <w:numId w:val="34"/>
        </w:numPr>
        <w:rPr>
          <w:rFonts w:ascii="Arial" w:hAnsi="Arial" w:cs="Arial"/>
        </w:rPr>
      </w:pPr>
      <w:r w:rsidRPr="000C0BA6">
        <w:rPr>
          <w:rFonts w:ascii="Arial" w:hAnsi="Arial" w:cs="Arial"/>
        </w:rPr>
        <w:t>All existing and prospective trainees must undergo check</w:t>
      </w:r>
      <w:r w:rsidR="00CD72E6" w:rsidRPr="000C0BA6">
        <w:rPr>
          <w:rFonts w:ascii="Arial" w:hAnsi="Arial" w:cs="Arial"/>
        </w:rPr>
        <w:t>s</w:t>
      </w:r>
      <w:r w:rsidRPr="000C0BA6">
        <w:rPr>
          <w:rFonts w:ascii="Arial" w:hAnsi="Arial" w:cs="Arial"/>
        </w:rPr>
        <w:t xml:space="preserve"> to ensure that they are not prohibited </w:t>
      </w:r>
      <w:r w:rsidR="00CD72E6" w:rsidRPr="000C0BA6">
        <w:rPr>
          <w:rFonts w:ascii="Arial" w:hAnsi="Arial" w:cs="Arial"/>
        </w:rPr>
        <w:t>by the Secretary of State and/or are not prohibited to teach in the European Economic Area. The list of prohibited teachers can be found via the Teacher Services System</w:t>
      </w:r>
      <w:r w:rsidR="000C0BA6" w:rsidRPr="000C0BA6">
        <w:rPr>
          <w:rFonts w:ascii="Arial" w:hAnsi="Arial" w:cs="Arial"/>
        </w:rPr>
        <w:t>.</w:t>
      </w:r>
    </w:p>
    <w:p w:rsidR="00DD5487" w:rsidRPr="000C0BA6" w:rsidRDefault="00DD5487" w:rsidP="00003F16">
      <w:pPr>
        <w:numPr>
          <w:ilvl w:val="0"/>
          <w:numId w:val="34"/>
        </w:numPr>
        <w:rPr>
          <w:rFonts w:ascii="Arial" w:hAnsi="Arial" w:cs="Arial"/>
        </w:rPr>
      </w:pPr>
      <w:r w:rsidRPr="000C0BA6">
        <w:rPr>
          <w:rFonts w:ascii="Arial" w:hAnsi="Arial" w:cs="Arial"/>
        </w:rPr>
        <w:t>Registered bodies such as IT</w:t>
      </w:r>
      <w:r w:rsidR="00627F06" w:rsidRPr="000C0BA6">
        <w:rPr>
          <w:rFonts w:ascii="Arial" w:hAnsi="Arial" w:cs="Arial"/>
        </w:rPr>
        <w:t>T</w:t>
      </w:r>
      <w:r w:rsidRPr="000C0BA6">
        <w:rPr>
          <w:rFonts w:ascii="Arial" w:hAnsi="Arial" w:cs="Arial"/>
        </w:rPr>
        <w:t xml:space="preserve"> providers should not under any circumstances share details of the content of DBS certificates with third parties such as schools or colleges. </w:t>
      </w:r>
      <w:r w:rsidR="007A5B92" w:rsidRPr="000C0BA6">
        <w:rPr>
          <w:rFonts w:ascii="Arial" w:hAnsi="Arial" w:cs="Arial"/>
        </w:rPr>
        <w:t xml:space="preserve">It is not </w:t>
      </w:r>
      <w:r w:rsidRPr="000C0BA6">
        <w:rPr>
          <w:rFonts w:ascii="Arial" w:hAnsi="Arial" w:cs="Arial"/>
        </w:rPr>
        <w:t xml:space="preserve">good practice for schools or colleges to request such information direct from trainees. Providers </w:t>
      </w:r>
      <w:r w:rsidR="008253F5" w:rsidRPr="000C0BA6">
        <w:rPr>
          <w:rFonts w:ascii="Arial" w:hAnsi="Arial" w:cs="Arial"/>
        </w:rPr>
        <w:t xml:space="preserve">should </w:t>
      </w:r>
      <w:r w:rsidRPr="000C0BA6">
        <w:rPr>
          <w:rFonts w:ascii="Arial" w:hAnsi="Arial" w:cs="Arial"/>
        </w:rPr>
        <w:t xml:space="preserve">reach agreement with partner schools and colleges about the kind of offences that might, depending on when they were committed, be </w:t>
      </w:r>
      <w:r w:rsidR="000C0BA6" w:rsidRPr="000C0BA6">
        <w:rPr>
          <w:rFonts w:ascii="Arial" w:hAnsi="Arial" w:cs="Arial"/>
        </w:rPr>
        <w:t>a</w:t>
      </w:r>
      <w:r w:rsidRPr="000C0BA6">
        <w:rPr>
          <w:rFonts w:ascii="Arial" w:hAnsi="Arial" w:cs="Arial"/>
        </w:rPr>
        <w:t xml:space="preserve">n issue in regard </w:t>
      </w:r>
      <w:r w:rsidR="000C0BA6" w:rsidRPr="000C0BA6">
        <w:rPr>
          <w:rFonts w:ascii="Arial" w:hAnsi="Arial" w:cs="Arial"/>
        </w:rPr>
        <w:t xml:space="preserve">to </w:t>
      </w:r>
      <w:r w:rsidRPr="000C0BA6">
        <w:rPr>
          <w:rFonts w:ascii="Arial" w:hAnsi="Arial" w:cs="Arial"/>
        </w:rPr>
        <w:t>school or college placement</w:t>
      </w:r>
      <w:r w:rsidR="00F72876">
        <w:rPr>
          <w:rFonts w:ascii="Arial" w:hAnsi="Arial" w:cs="Arial"/>
        </w:rPr>
        <w:t>.</w:t>
      </w:r>
    </w:p>
    <w:p w:rsidR="00DD5487" w:rsidRPr="000C0BA6" w:rsidRDefault="00DD5487" w:rsidP="00DD5487">
      <w:pPr>
        <w:numPr>
          <w:ilvl w:val="0"/>
          <w:numId w:val="34"/>
        </w:numPr>
        <w:rPr>
          <w:rFonts w:ascii="Arial" w:hAnsi="Arial" w:cs="Arial"/>
        </w:rPr>
      </w:pPr>
      <w:r w:rsidRPr="000C0BA6">
        <w:rPr>
          <w:rFonts w:ascii="Arial" w:hAnsi="Arial" w:cs="Arial"/>
        </w:rPr>
        <w:t xml:space="preserve">ITT providers should ask new and existing ITT students working or training in relevant settings whether they are disqualified under the terms of the 2009 Childcare Disqualification requirements or if, to the best of their knowledge, </w:t>
      </w:r>
      <w:r w:rsidR="00C33F65" w:rsidRPr="000C0BA6">
        <w:rPr>
          <w:rFonts w:ascii="Arial" w:hAnsi="Arial" w:cs="Arial"/>
        </w:rPr>
        <w:t>they may be disqualified by association</w:t>
      </w:r>
      <w:r w:rsidR="00F72876">
        <w:rPr>
          <w:rFonts w:ascii="Arial" w:hAnsi="Arial" w:cs="Arial"/>
        </w:rPr>
        <w:t>.</w:t>
      </w:r>
    </w:p>
    <w:p w:rsidR="00003F16" w:rsidRPr="000C0BA6" w:rsidRDefault="00003F16" w:rsidP="00003F16">
      <w:pPr>
        <w:rPr>
          <w:rFonts w:ascii="Arial" w:hAnsi="Arial" w:cs="Arial"/>
        </w:rPr>
      </w:pPr>
      <w:r w:rsidRPr="000C0BA6">
        <w:rPr>
          <w:rFonts w:ascii="Arial" w:hAnsi="Arial" w:cs="Arial"/>
        </w:rPr>
        <w:t xml:space="preserve"> </w:t>
      </w:r>
    </w:p>
    <w:p w:rsidR="00003F16" w:rsidRPr="000C0BA6" w:rsidRDefault="00003F16" w:rsidP="00003F16">
      <w:pPr>
        <w:rPr>
          <w:rFonts w:ascii="Arial" w:hAnsi="Arial" w:cs="Arial"/>
          <w:b/>
        </w:rPr>
      </w:pPr>
      <w:r w:rsidRPr="000C0BA6">
        <w:rPr>
          <w:rFonts w:ascii="Arial" w:hAnsi="Arial" w:cs="Arial"/>
          <w:b/>
        </w:rPr>
        <w:t>Background</w:t>
      </w:r>
    </w:p>
    <w:p w:rsidR="00003F16" w:rsidRPr="000C0BA6" w:rsidRDefault="00003F16" w:rsidP="00003F16">
      <w:pPr>
        <w:rPr>
          <w:rFonts w:ascii="Arial" w:hAnsi="Arial" w:cs="Arial"/>
        </w:rPr>
      </w:pPr>
    </w:p>
    <w:p w:rsidR="00003F16" w:rsidRPr="000C0BA6" w:rsidRDefault="00003F16" w:rsidP="00003F16">
      <w:pPr>
        <w:rPr>
          <w:rFonts w:ascii="Arial" w:hAnsi="Arial" w:cs="Arial"/>
        </w:rPr>
      </w:pPr>
      <w:r w:rsidRPr="000C0BA6">
        <w:rPr>
          <w:rFonts w:ascii="Arial" w:hAnsi="Arial" w:cs="Arial"/>
        </w:rPr>
        <w:lastRenderedPageBreak/>
        <w:t>ITT providers are responsible for ensuring that they do not admit applicants to training who are unsuited to work with children. Barred list</w:t>
      </w:r>
      <w:r w:rsidR="00736840" w:rsidRPr="000C0BA6">
        <w:rPr>
          <w:rFonts w:ascii="Arial" w:hAnsi="Arial" w:cs="Arial"/>
        </w:rPr>
        <w:t xml:space="preserve">, </w:t>
      </w:r>
      <w:r w:rsidRPr="000C0BA6">
        <w:rPr>
          <w:rFonts w:ascii="Arial" w:hAnsi="Arial" w:cs="Arial"/>
        </w:rPr>
        <w:t xml:space="preserve">criminal record checks </w:t>
      </w:r>
      <w:r w:rsidR="00736840" w:rsidRPr="000C0BA6">
        <w:rPr>
          <w:rFonts w:ascii="Arial" w:hAnsi="Arial" w:cs="Arial"/>
        </w:rPr>
        <w:t xml:space="preserve">and prohibition checks </w:t>
      </w:r>
      <w:r w:rsidRPr="000C0BA6">
        <w:rPr>
          <w:rFonts w:ascii="Arial" w:hAnsi="Arial" w:cs="Arial"/>
        </w:rPr>
        <w:t xml:space="preserve">are </w:t>
      </w:r>
      <w:r w:rsidR="00736840" w:rsidRPr="000C0BA6">
        <w:rPr>
          <w:rFonts w:ascii="Arial" w:hAnsi="Arial" w:cs="Arial"/>
        </w:rPr>
        <w:t xml:space="preserve">some ways </w:t>
      </w:r>
      <w:r w:rsidRPr="000C0BA6">
        <w:rPr>
          <w:rFonts w:ascii="Arial" w:hAnsi="Arial" w:cs="Arial"/>
        </w:rPr>
        <w:t xml:space="preserve">of doing this.    </w:t>
      </w:r>
    </w:p>
    <w:p w:rsidR="00003F16" w:rsidRPr="000C0BA6" w:rsidRDefault="00003F16" w:rsidP="00003F16">
      <w:pPr>
        <w:rPr>
          <w:rFonts w:ascii="Arial" w:hAnsi="Arial" w:cs="Arial"/>
        </w:rPr>
      </w:pPr>
    </w:p>
    <w:p w:rsidR="00BC3218" w:rsidRPr="000C0BA6" w:rsidRDefault="00BC3218" w:rsidP="00BC3218">
      <w:pPr>
        <w:rPr>
          <w:rFonts w:ascii="Arial" w:hAnsi="Arial" w:cs="Arial"/>
        </w:rPr>
      </w:pPr>
      <w:r w:rsidRPr="000C0BA6">
        <w:rPr>
          <w:rFonts w:ascii="Arial" w:hAnsi="Arial" w:cs="Arial"/>
        </w:rPr>
        <w:t xml:space="preserve">ITT partnerships </w:t>
      </w:r>
      <w:r w:rsidR="00DC4994" w:rsidRPr="000C0BA6">
        <w:rPr>
          <w:rFonts w:ascii="Arial" w:hAnsi="Arial" w:cs="Arial"/>
        </w:rPr>
        <w:t xml:space="preserve">should </w:t>
      </w:r>
      <w:r w:rsidRPr="000C0BA6">
        <w:rPr>
          <w:rFonts w:ascii="Arial" w:hAnsi="Arial" w:cs="Arial"/>
        </w:rPr>
        <w:t>establish a common understanding of convictions that might pose a barrier to joining a programme of ITT</w:t>
      </w:r>
      <w:r w:rsidR="00DC4994" w:rsidRPr="000C0BA6">
        <w:rPr>
          <w:rFonts w:ascii="Arial" w:hAnsi="Arial" w:cs="Arial"/>
        </w:rPr>
        <w:t xml:space="preserve">. This should give sufficient reassurance to schools and colleges that no-one </w:t>
      </w:r>
      <w:r w:rsidR="005F0D37" w:rsidRPr="000C0BA6">
        <w:rPr>
          <w:rFonts w:ascii="Arial" w:hAnsi="Arial" w:cs="Arial"/>
        </w:rPr>
        <w:t xml:space="preserve">who </w:t>
      </w:r>
      <w:r w:rsidR="00E419E9" w:rsidRPr="000C0BA6">
        <w:rPr>
          <w:rFonts w:ascii="Arial" w:hAnsi="Arial" w:cs="Arial"/>
        </w:rPr>
        <w:t xml:space="preserve">might, </w:t>
      </w:r>
      <w:r w:rsidR="005F0D37" w:rsidRPr="000C0BA6">
        <w:rPr>
          <w:rFonts w:ascii="Arial" w:hAnsi="Arial" w:cs="Arial"/>
        </w:rPr>
        <w:t>in terms of criminal convictions</w:t>
      </w:r>
      <w:r w:rsidR="00E419E9" w:rsidRPr="000C0BA6">
        <w:rPr>
          <w:rFonts w:ascii="Arial" w:hAnsi="Arial" w:cs="Arial"/>
        </w:rPr>
        <w:t>,</w:t>
      </w:r>
      <w:r w:rsidR="005F0D37" w:rsidRPr="000C0BA6">
        <w:rPr>
          <w:rFonts w:ascii="Arial" w:hAnsi="Arial" w:cs="Arial"/>
        </w:rPr>
        <w:t xml:space="preserve"> </w:t>
      </w:r>
      <w:r w:rsidR="00DC4994" w:rsidRPr="000C0BA6">
        <w:rPr>
          <w:rFonts w:ascii="Arial" w:hAnsi="Arial" w:cs="Arial"/>
        </w:rPr>
        <w:t>be a cause for concern will have been</w:t>
      </w:r>
      <w:r w:rsidR="005F0D37" w:rsidRPr="000C0BA6">
        <w:rPr>
          <w:rFonts w:ascii="Arial" w:hAnsi="Arial" w:cs="Arial"/>
        </w:rPr>
        <w:t xml:space="preserve"> recruited</w:t>
      </w:r>
      <w:r w:rsidR="00DC4994" w:rsidRPr="000C0BA6">
        <w:rPr>
          <w:rFonts w:ascii="Arial" w:hAnsi="Arial" w:cs="Arial"/>
        </w:rPr>
        <w:t xml:space="preserve">. Agreement should also be reached about the type of offence that should lead to a trainee being removed from a course, or the kind of behaviour that might lead to a trainee being referred to the police. </w:t>
      </w:r>
      <w:r w:rsidR="00D660A0" w:rsidRPr="000C0BA6">
        <w:rPr>
          <w:rFonts w:ascii="Arial" w:hAnsi="Arial" w:cs="Arial"/>
        </w:rPr>
        <w:t xml:space="preserve"> </w:t>
      </w:r>
      <w:r w:rsidR="00677185" w:rsidRPr="000C0BA6">
        <w:rPr>
          <w:rFonts w:ascii="Arial" w:hAnsi="Arial" w:cs="Arial"/>
        </w:rPr>
        <w:t xml:space="preserve"> </w:t>
      </w:r>
    </w:p>
    <w:p w:rsidR="00BC3218" w:rsidRPr="000C0BA6" w:rsidRDefault="00BC3218" w:rsidP="00003F16">
      <w:pPr>
        <w:rPr>
          <w:rFonts w:ascii="Arial" w:hAnsi="Arial" w:cs="Arial"/>
        </w:rPr>
      </w:pPr>
    </w:p>
    <w:p w:rsidR="00003F16" w:rsidRPr="000C0BA6" w:rsidRDefault="00003F16" w:rsidP="00003F16">
      <w:pPr>
        <w:rPr>
          <w:rFonts w:ascii="Arial" w:hAnsi="Arial" w:cs="Arial"/>
          <w:b/>
        </w:rPr>
      </w:pPr>
      <w:r w:rsidRPr="000C0BA6">
        <w:rPr>
          <w:rFonts w:ascii="Arial" w:hAnsi="Arial" w:cs="Arial"/>
          <w:b/>
        </w:rPr>
        <w:t>Responsibilities in respect of all IT</w:t>
      </w:r>
      <w:r w:rsidR="00627F06" w:rsidRPr="000C0BA6">
        <w:rPr>
          <w:rFonts w:ascii="Arial" w:hAnsi="Arial" w:cs="Arial"/>
          <w:b/>
        </w:rPr>
        <w:t>T</w:t>
      </w:r>
      <w:r w:rsidRPr="000C0BA6">
        <w:rPr>
          <w:rFonts w:ascii="Arial" w:hAnsi="Arial" w:cs="Arial"/>
          <w:b/>
        </w:rPr>
        <w:t xml:space="preserve"> students</w:t>
      </w:r>
    </w:p>
    <w:p w:rsidR="00003F16" w:rsidRPr="000C0BA6" w:rsidRDefault="00003F16" w:rsidP="00003F16">
      <w:pPr>
        <w:rPr>
          <w:rFonts w:ascii="Arial" w:hAnsi="Arial" w:cs="Arial"/>
        </w:rPr>
      </w:pPr>
    </w:p>
    <w:p w:rsidR="00003F16" w:rsidRPr="000C0BA6" w:rsidRDefault="00003F16" w:rsidP="00003F16">
      <w:pPr>
        <w:rPr>
          <w:rFonts w:ascii="Arial" w:hAnsi="Arial" w:cs="Arial"/>
        </w:rPr>
      </w:pPr>
      <w:r w:rsidRPr="000C0BA6">
        <w:rPr>
          <w:rFonts w:ascii="Arial" w:hAnsi="Arial" w:cs="Arial"/>
        </w:rPr>
        <w:t>All entrants to ITT programmes must by law be checked against the DBS barred list</w:t>
      </w:r>
      <w:r w:rsidR="00736840" w:rsidRPr="000C0BA6">
        <w:rPr>
          <w:rFonts w:ascii="Arial" w:hAnsi="Arial" w:cs="Arial"/>
        </w:rPr>
        <w:t>, the list of people prohibited from teaching</w:t>
      </w:r>
      <w:r w:rsidRPr="000C0BA6">
        <w:rPr>
          <w:rFonts w:ascii="Arial" w:hAnsi="Arial" w:cs="Arial"/>
        </w:rPr>
        <w:t xml:space="preserve"> and subject to criminal record checks. DBS certificates will be issued to individual applicants and not to providers. ITT providers have a responsibility to ensure that entrants on all routes, including salaried School Direct programmes, have been subject to </w:t>
      </w:r>
      <w:r w:rsidR="00736840" w:rsidRPr="000C0BA6">
        <w:rPr>
          <w:rFonts w:ascii="Arial" w:hAnsi="Arial" w:cs="Arial"/>
        </w:rPr>
        <w:t xml:space="preserve">DBS </w:t>
      </w:r>
      <w:r w:rsidRPr="000C0BA6">
        <w:rPr>
          <w:rFonts w:ascii="Arial" w:hAnsi="Arial" w:cs="Arial"/>
        </w:rPr>
        <w:t xml:space="preserve">checks, although how this is done for trainees on salaried routes does differ. </w:t>
      </w:r>
    </w:p>
    <w:p w:rsidR="00003F16" w:rsidRPr="000C0BA6" w:rsidRDefault="00003F16" w:rsidP="00003F16">
      <w:pPr>
        <w:rPr>
          <w:rFonts w:ascii="Arial" w:hAnsi="Arial" w:cs="Arial"/>
        </w:rPr>
      </w:pPr>
    </w:p>
    <w:p w:rsidR="00003F16" w:rsidRPr="000C0BA6" w:rsidRDefault="00003F16" w:rsidP="00003F16">
      <w:pPr>
        <w:rPr>
          <w:rFonts w:ascii="Arial" w:hAnsi="Arial" w:cs="Arial"/>
        </w:rPr>
      </w:pPr>
      <w:r w:rsidRPr="000C0BA6">
        <w:rPr>
          <w:rFonts w:ascii="Arial" w:hAnsi="Arial" w:cs="Arial"/>
        </w:rPr>
        <w:t>The responsibilities</w:t>
      </w:r>
      <w:r w:rsidR="00C33F65" w:rsidRPr="000C0BA6">
        <w:rPr>
          <w:rFonts w:ascii="Arial" w:hAnsi="Arial" w:cs="Arial"/>
        </w:rPr>
        <w:t>, which are set out in full in keeping Children Safe in Education,</w:t>
      </w:r>
      <w:r w:rsidRPr="000C0BA6">
        <w:rPr>
          <w:rFonts w:ascii="Arial" w:hAnsi="Arial" w:cs="Arial"/>
        </w:rPr>
        <w:t xml:space="preserve"> </w:t>
      </w:r>
      <w:r w:rsidR="00C33F65" w:rsidRPr="000C0BA6">
        <w:rPr>
          <w:rFonts w:ascii="Arial" w:hAnsi="Arial" w:cs="Arial"/>
        </w:rPr>
        <w:t>include</w:t>
      </w:r>
      <w:r w:rsidRPr="000C0BA6">
        <w:rPr>
          <w:rFonts w:ascii="Arial" w:hAnsi="Arial" w:cs="Arial"/>
        </w:rPr>
        <w:t xml:space="preserve">: </w:t>
      </w:r>
    </w:p>
    <w:p w:rsidR="00003F16" w:rsidRPr="000C0BA6" w:rsidRDefault="00003F16" w:rsidP="00003F16">
      <w:pPr>
        <w:rPr>
          <w:rFonts w:ascii="Arial" w:hAnsi="Arial" w:cs="Arial"/>
        </w:rPr>
      </w:pPr>
    </w:p>
    <w:p w:rsidR="00003F16" w:rsidRPr="000C0BA6" w:rsidRDefault="00003F16" w:rsidP="00003F16">
      <w:pPr>
        <w:numPr>
          <w:ilvl w:val="0"/>
          <w:numId w:val="32"/>
        </w:numPr>
        <w:rPr>
          <w:rFonts w:ascii="Arial" w:hAnsi="Arial" w:cs="Arial"/>
        </w:rPr>
      </w:pPr>
      <w:r w:rsidRPr="000C0BA6">
        <w:rPr>
          <w:rFonts w:ascii="Arial" w:hAnsi="Arial" w:cs="Arial"/>
        </w:rPr>
        <w:t>For trainees on routes other than School Direct salaried, the accredited provider such as an HEI or a SCITT is responsible for ensuring that checks have been completed by requesting sight of the original DBS certificate and keeping a record of the fact that it has been seen. Providers should confirm to schools that checks have been made</w:t>
      </w:r>
      <w:r w:rsidR="00DC4994" w:rsidRPr="000C0BA6">
        <w:rPr>
          <w:rFonts w:ascii="Arial" w:hAnsi="Arial" w:cs="Arial"/>
        </w:rPr>
        <w:t xml:space="preserve">. Schools </w:t>
      </w:r>
      <w:r w:rsidR="00CD72E6" w:rsidRPr="000C0BA6">
        <w:rPr>
          <w:rFonts w:ascii="Arial" w:hAnsi="Arial" w:cs="Arial"/>
        </w:rPr>
        <w:t xml:space="preserve">may </w:t>
      </w:r>
      <w:r w:rsidR="00DD5487" w:rsidRPr="000C0BA6">
        <w:rPr>
          <w:rFonts w:ascii="Arial" w:hAnsi="Arial" w:cs="Arial"/>
        </w:rPr>
        <w:t>record this fact in their central re</w:t>
      </w:r>
      <w:r w:rsidR="00E419E9" w:rsidRPr="000C0BA6">
        <w:rPr>
          <w:rFonts w:ascii="Arial" w:hAnsi="Arial" w:cs="Arial"/>
        </w:rPr>
        <w:t>cord,</w:t>
      </w:r>
      <w:r w:rsidR="00DC4994" w:rsidRPr="000C0BA6">
        <w:rPr>
          <w:rFonts w:ascii="Arial" w:hAnsi="Arial" w:cs="Arial"/>
        </w:rPr>
        <w:t xml:space="preserve"> </w:t>
      </w:r>
      <w:r w:rsidR="00E419E9" w:rsidRPr="000C0BA6">
        <w:rPr>
          <w:rFonts w:ascii="Arial" w:hAnsi="Arial" w:cs="Arial"/>
        </w:rPr>
        <w:t xml:space="preserve">although they are </w:t>
      </w:r>
      <w:r w:rsidR="00DC4994" w:rsidRPr="000C0BA6">
        <w:rPr>
          <w:rFonts w:ascii="Arial" w:hAnsi="Arial" w:cs="Arial"/>
        </w:rPr>
        <w:t>not required to do so</w:t>
      </w:r>
      <w:r w:rsidRPr="000C0BA6">
        <w:rPr>
          <w:rFonts w:ascii="Arial" w:hAnsi="Arial" w:cs="Arial"/>
        </w:rPr>
        <w:t>.</w:t>
      </w:r>
    </w:p>
    <w:p w:rsidR="00003F16" w:rsidRPr="000C0BA6" w:rsidRDefault="00003F16" w:rsidP="00003F16">
      <w:pPr>
        <w:numPr>
          <w:ilvl w:val="0"/>
          <w:numId w:val="32"/>
        </w:numPr>
        <w:rPr>
          <w:rFonts w:ascii="Arial" w:hAnsi="Arial" w:cs="Arial"/>
        </w:rPr>
      </w:pPr>
      <w:r w:rsidRPr="000C0BA6">
        <w:rPr>
          <w:rFonts w:ascii="Arial" w:hAnsi="Arial" w:cs="Arial"/>
        </w:rPr>
        <w:t xml:space="preserve">For trainees on salaried School Direct programmes, the employer is responsible for ensuring that checks have been completed by requesting sight of the original certificate and keeping a record. Schools can also request, but cannot require, permission to keep copies. Schools should confirm to accredited providers that checks have been made and providers should make a note of this. </w:t>
      </w:r>
    </w:p>
    <w:p w:rsidR="00003F16" w:rsidRPr="000C0BA6" w:rsidRDefault="00003F16" w:rsidP="00DD5487">
      <w:pPr>
        <w:numPr>
          <w:ilvl w:val="0"/>
          <w:numId w:val="32"/>
        </w:numPr>
        <w:rPr>
          <w:rFonts w:ascii="Arial" w:hAnsi="Arial" w:cs="Arial"/>
        </w:rPr>
      </w:pPr>
      <w:r w:rsidRPr="000C0BA6">
        <w:rPr>
          <w:rFonts w:ascii="Arial" w:hAnsi="Arial" w:cs="Arial"/>
        </w:rPr>
        <w:t xml:space="preserve">For those training to teach in FE colleges, the ITT provider is responsible for ensuring that checks have been completed in respect of pre-service trainees, while employers are responsible for those on in-service programmes. In each case the responsible organisation should confirm to the other that checks have been made.  </w:t>
      </w:r>
    </w:p>
    <w:p w:rsidR="00003F16" w:rsidRPr="000C0BA6" w:rsidRDefault="00003F16" w:rsidP="00003F16">
      <w:pPr>
        <w:rPr>
          <w:rFonts w:ascii="Arial" w:hAnsi="Arial" w:cs="Arial"/>
        </w:rPr>
      </w:pPr>
    </w:p>
    <w:p w:rsidR="00736840" w:rsidRPr="000C0BA6" w:rsidRDefault="00736840" w:rsidP="00736840">
      <w:pPr>
        <w:rPr>
          <w:rFonts w:ascii="Arial" w:hAnsi="Arial" w:cs="Arial"/>
        </w:rPr>
      </w:pPr>
      <w:r w:rsidRPr="000C0BA6">
        <w:rPr>
          <w:rFonts w:ascii="Arial" w:hAnsi="Arial" w:cs="Arial"/>
        </w:rPr>
        <w:t xml:space="preserve">Further checks should not be made by providers, schools or colleges if they have received notification from the responsible organisation that a satisfactory enhanced check has been obtained. </w:t>
      </w:r>
    </w:p>
    <w:p w:rsidR="00736840" w:rsidRPr="000C0BA6" w:rsidRDefault="00736840" w:rsidP="00736840">
      <w:pPr>
        <w:rPr>
          <w:rFonts w:ascii="Arial" w:hAnsi="Arial" w:cs="Arial"/>
        </w:rPr>
      </w:pPr>
    </w:p>
    <w:p w:rsidR="007A5B92" w:rsidRPr="000C0BA6" w:rsidRDefault="00727C0E" w:rsidP="00736840">
      <w:pPr>
        <w:rPr>
          <w:rFonts w:ascii="Arial" w:hAnsi="Arial" w:cs="Arial"/>
        </w:rPr>
      </w:pPr>
      <w:r w:rsidRPr="000C0BA6">
        <w:rPr>
          <w:rFonts w:ascii="Arial" w:hAnsi="Arial" w:cs="Arial"/>
        </w:rPr>
        <w:t>T</w:t>
      </w:r>
      <w:r w:rsidR="00736840" w:rsidRPr="000C0BA6">
        <w:rPr>
          <w:rFonts w:ascii="Arial" w:hAnsi="Arial" w:cs="Arial"/>
        </w:rPr>
        <w:t xml:space="preserve">rainees in England must also undergo a prohibition order check. This is separate to the DBS check, as people can be prohibited from teaching for actions or behaviours that would not </w:t>
      </w:r>
      <w:r w:rsidRPr="000C0BA6">
        <w:rPr>
          <w:rFonts w:ascii="Arial" w:hAnsi="Arial" w:cs="Arial"/>
        </w:rPr>
        <w:t xml:space="preserve">necessarily </w:t>
      </w:r>
      <w:r w:rsidR="00736840" w:rsidRPr="000C0BA6">
        <w:rPr>
          <w:rFonts w:ascii="Arial" w:hAnsi="Arial" w:cs="Arial"/>
        </w:rPr>
        <w:t>lead to them being included on the DBS barred list. People such as unqualified teachers can be included on the prohibited list, not only those wh</w:t>
      </w:r>
      <w:r w:rsidR="007A5B92" w:rsidRPr="000C0BA6">
        <w:rPr>
          <w:rFonts w:ascii="Arial" w:hAnsi="Arial" w:cs="Arial"/>
        </w:rPr>
        <w:t>o hold QTS. F</w:t>
      </w:r>
      <w:r w:rsidR="00736840" w:rsidRPr="000C0BA6">
        <w:rPr>
          <w:rFonts w:ascii="Arial" w:hAnsi="Arial" w:cs="Arial"/>
        </w:rPr>
        <w:t>ee-paying trainees should therefore be checked and partner schools notified in a similar way to DBS a</w:t>
      </w:r>
      <w:r w:rsidR="007A5B92" w:rsidRPr="000C0BA6">
        <w:rPr>
          <w:rFonts w:ascii="Arial" w:hAnsi="Arial" w:cs="Arial"/>
        </w:rPr>
        <w:t>nd</w:t>
      </w:r>
      <w:r w:rsidR="00736840" w:rsidRPr="000C0BA6">
        <w:rPr>
          <w:rFonts w:ascii="Arial" w:hAnsi="Arial" w:cs="Arial"/>
        </w:rPr>
        <w:t xml:space="preserve"> barred list clearance. Responsibility in respect of salaried trainees rests with employers. To undertake prohibition order checks, providers will need to be registered with the Employer Access Service. Further information about how to do this can be obtained from </w:t>
      </w:r>
      <w:hyperlink r:id="rId12" w:history="1">
        <w:r w:rsidR="007A5B92" w:rsidRPr="000C0BA6">
          <w:rPr>
            <w:rStyle w:val="Hyperlink"/>
            <w:rFonts w:ascii="Arial" w:hAnsi="Arial" w:cs="Arial"/>
            <w:color w:val="auto"/>
          </w:rPr>
          <w:t>https://www.gov.uk/guidance/teacher-status-checks-information-for-employers</w:t>
        </w:r>
      </w:hyperlink>
    </w:p>
    <w:p w:rsidR="007A5B92" w:rsidRPr="000C0BA6" w:rsidRDefault="007A5B92" w:rsidP="00736840">
      <w:pPr>
        <w:rPr>
          <w:rFonts w:ascii="Arial" w:hAnsi="Arial" w:cs="Arial"/>
        </w:rPr>
      </w:pPr>
    </w:p>
    <w:p w:rsidR="007A5B92" w:rsidRPr="000C0BA6" w:rsidRDefault="007A5B92" w:rsidP="00736840">
      <w:pPr>
        <w:rPr>
          <w:rFonts w:ascii="Arial" w:hAnsi="Arial" w:cs="Arial"/>
        </w:rPr>
      </w:pPr>
    </w:p>
    <w:p w:rsidR="000C0BA6" w:rsidRPr="000C0BA6" w:rsidRDefault="000C0BA6" w:rsidP="00003F16">
      <w:pPr>
        <w:rPr>
          <w:rFonts w:ascii="Arial" w:hAnsi="Arial" w:cs="Arial"/>
          <w:b/>
        </w:rPr>
      </w:pPr>
      <w:r w:rsidRPr="000C0BA6">
        <w:rPr>
          <w:rFonts w:ascii="Arial" w:hAnsi="Arial" w:cs="Arial"/>
          <w:b/>
        </w:rPr>
        <w:t>Teachers from overseas and those who have lived or worked overseas</w:t>
      </w:r>
    </w:p>
    <w:p w:rsidR="000C0BA6" w:rsidRPr="000C0BA6" w:rsidRDefault="000C0BA6" w:rsidP="00003F16">
      <w:pPr>
        <w:rPr>
          <w:rFonts w:ascii="Arial" w:hAnsi="Arial" w:cs="Arial"/>
        </w:rPr>
      </w:pPr>
    </w:p>
    <w:p w:rsidR="00CD72E6" w:rsidRPr="000C0BA6" w:rsidRDefault="007A5B92" w:rsidP="00003F16">
      <w:pPr>
        <w:rPr>
          <w:rFonts w:ascii="Arial" w:hAnsi="Arial" w:cs="Arial"/>
        </w:rPr>
      </w:pPr>
      <w:r w:rsidRPr="000C0BA6">
        <w:rPr>
          <w:rFonts w:ascii="Arial" w:hAnsi="Arial" w:cs="Arial"/>
        </w:rPr>
        <w:t>T</w:t>
      </w:r>
      <w:r w:rsidR="00160874" w:rsidRPr="000C0BA6">
        <w:rPr>
          <w:rFonts w:ascii="Arial" w:hAnsi="Arial" w:cs="Arial"/>
        </w:rPr>
        <w:t xml:space="preserve">rainees from overseas who teach in schools in England should be subject to criminal record checks, including a check of the children’s barred list. The Home Office has published guidance on criminal record checks for overseas applicants </w:t>
      </w:r>
    </w:p>
    <w:p w:rsidR="00CD72E6" w:rsidRPr="000C0BA6" w:rsidRDefault="00CD72E6" w:rsidP="00003F16">
      <w:pPr>
        <w:rPr>
          <w:rFonts w:ascii="Arial" w:hAnsi="Arial" w:cs="Arial"/>
        </w:rPr>
      </w:pPr>
      <w:hyperlink r:id="rId13" w:history="1">
        <w:r w:rsidRPr="000C0BA6">
          <w:rPr>
            <w:rStyle w:val="Hyperlink"/>
            <w:rFonts w:ascii="Arial" w:hAnsi="Arial" w:cs="Arial"/>
            <w:color w:val="auto"/>
          </w:rPr>
          <w:t>https://www.gov.uk/government/publications/crimin</w:t>
        </w:r>
        <w:r w:rsidRPr="000C0BA6">
          <w:rPr>
            <w:rStyle w:val="Hyperlink"/>
            <w:rFonts w:ascii="Arial" w:hAnsi="Arial" w:cs="Arial"/>
            <w:color w:val="auto"/>
          </w:rPr>
          <w:t>a</w:t>
        </w:r>
        <w:r w:rsidRPr="000C0BA6">
          <w:rPr>
            <w:rStyle w:val="Hyperlink"/>
            <w:rFonts w:ascii="Arial" w:hAnsi="Arial" w:cs="Arial"/>
            <w:color w:val="auto"/>
          </w:rPr>
          <w:t>l-records-checks-for-overseas-applicants</w:t>
        </w:r>
      </w:hyperlink>
      <w:r w:rsidR="00160874" w:rsidRPr="000C0BA6">
        <w:rPr>
          <w:rFonts w:ascii="Arial" w:hAnsi="Arial" w:cs="Arial"/>
        </w:rPr>
        <w:t xml:space="preserve">. </w:t>
      </w:r>
    </w:p>
    <w:p w:rsidR="007A5B92" w:rsidRPr="000C0BA6" w:rsidRDefault="007A5B92" w:rsidP="00003F16">
      <w:pPr>
        <w:rPr>
          <w:rFonts w:ascii="Arial" w:hAnsi="Arial" w:cs="Arial"/>
        </w:rPr>
      </w:pPr>
    </w:p>
    <w:p w:rsidR="00160874" w:rsidRPr="000C0BA6" w:rsidRDefault="00160874" w:rsidP="00003F16">
      <w:pPr>
        <w:rPr>
          <w:rFonts w:ascii="Arial" w:hAnsi="Arial" w:cs="Arial"/>
        </w:rPr>
      </w:pPr>
      <w:r w:rsidRPr="000C0BA6">
        <w:rPr>
          <w:rFonts w:ascii="Arial" w:hAnsi="Arial" w:cs="Arial"/>
        </w:rPr>
        <w:t>Providers and employers must check that candidates are not subject to a prohibition order issued by the Secretary of State and/or are not prohibited to teach in another country of the European Economic Area (EEA). The lists of prohibited teachers can be found via the Teacher Services System</w:t>
      </w:r>
      <w:r w:rsidR="00CD72E6" w:rsidRPr="000C0BA6">
        <w:rPr>
          <w:rFonts w:ascii="Arial" w:hAnsi="Arial" w:cs="Arial"/>
        </w:rPr>
        <w:t xml:space="preserve"> - </w:t>
      </w:r>
      <w:hyperlink r:id="rId14" w:history="1">
        <w:r w:rsidR="00CD72E6" w:rsidRPr="000C0BA6">
          <w:rPr>
            <w:rStyle w:val="Hyperlink"/>
            <w:rFonts w:ascii="Arial" w:hAnsi="Arial" w:cs="Arial"/>
            <w:color w:val="auto"/>
          </w:rPr>
          <w:t>https://teacherservices.education.gov.uk</w:t>
        </w:r>
      </w:hyperlink>
    </w:p>
    <w:p w:rsidR="00CD72E6" w:rsidRPr="000C0BA6" w:rsidRDefault="00CD72E6" w:rsidP="00003F16">
      <w:pPr>
        <w:rPr>
          <w:rFonts w:ascii="Arial" w:hAnsi="Arial" w:cs="Arial"/>
          <w:b/>
        </w:rPr>
      </w:pPr>
    </w:p>
    <w:p w:rsidR="000C0BA6" w:rsidRPr="000C0BA6" w:rsidRDefault="000C0BA6" w:rsidP="000C0BA6">
      <w:pPr>
        <w:pStyle w:val="NormalWeb"/>
        <w:spacing w:before="0" w:beforeAutospacing="0" w:after="300" w:afterAutospacing="0"/>
        <w:rPr>
          <w:rFonts w:ascii="Arial" w:hAnsi="Arial" w:cs="Arial"/>
        </w:rPr>
      </w:pPr>
      <w:r w:rsidRPr="000C0BA6">
        <w:rPr>
          <w:rFonts w:ascii="Arial" w:hAnsi="Arial" w:cs="Arial"/>
        </w:rPr>
        <w:t>Keeping Children Safe in Education (2016) says that for individuals who have lived or worked outside the UK, ‘schools and colleges must make any further checks they think appropriate so that any relevant events that occurred outside the UK can be considered’ (paragraph 114).  Whilst there has been no statutory timescales, many schools and local authorities have been completing these checks for anyone who has lived or worked overseas for three months or more in the last ten years. From 6th April 2017, the Home Office has confirmed that an overseas criminal check will be completed for everyone in an education role applying for a visa to work in the UK (i.e. from countries outside the European Economic Area).</w:t>
      </w:r>
    </w:p>
    <w:p w:rsidR="000C0BA6" w:rsidRPr="000C0BA6" w:rsidRDefault="000C0BA6" w:rsidP="000C0BA6">
      <w:pPr>
        <w:pStyle w:val="NormalWeb"/>
        <w:spacing w:before="0" w:beforeAutospacing="0" w:after="300" w:afterAutospacing="0"/>
        <w:rPr>
          <w:rFonts w:ascii="Arial" w:hAnsi="Arial" w:cs="Arial"/>
        </w:rPr>
      </w:pPr>
      <w:r w:rsidRPr="000C0BA6">
        <w:rPr>
          <w:rFonts w:ascii="Arial" w:hAnsi="Arial" w:cs="Arial"/>
        </w:rPr>
        <w:t>The requirement to provide an overseas criminal record certificate applies to anyone who has lived abroad for 12 months or more in the past 10 years.</w:t>
      </w:r>
    </w:p>
    <w:p w:rsidR="000C0BA6" w:rsidRPr="000C0BA6" w:rsidRDefault="000C0BA6" w:rsidP="000C0BA6">
      <w:pPr>
        <w:pStyle w:val="NormalWeb"/>
        <w:spacing w:before="0" w:beforeAutospacing="0" w:after="300" w:afterAutospacing="0"/>
        <w:rPr>
          <w:rFonts w:ascii="Arial" w:hAnsi="Arial" w:cs="Arial"/>
        </w:rPr>
      </w:pPr>
      <w:r w:rsidRPr="000C0BA6">
        <w:rPr>
          <w:rFonts w:ascii="Arial" w:hAnsi="Arial" w:cs="Arial"/>
        </w:rPr>
        <w:t>From April 2017, schools now have a statutory duty to inform Tier 2 skilled worker applicants of the need to source and submit overseas criminal record certificates.</w:t>
      </w:r>
    </w:p>
    <w:p w:rsidR="00003F16" w:rsidRPr="000C0BA6" w:rsidRDefault="00003F16" w:rsidP="00003F16">
      <w:pPr>
        <w:rPr>
          <w:rFonts w:ascii="Arial" w:hAnsi="Arial" w:cs="Arial"/>
        </w:rPr>
      </w:pPr>
      <w:r w:rsidRPr="000C0BA6">
        <w:rPr>
          <w:rFonts w:ascii="Arial" w:hAnsi="Arial" w:cs="Arial"/>
          <w:b/>
        </w:rPr>
        <w:t>Sharing of information</w:t>
      </w:r>
    </w:p>
    <w:p w:rsidR="00003F16" w:rsidRPr="000C0BA6" w:rsidRDefault="00003F16" w:rsidP="00003F16">
      <w:pPr>
        <w:rPr>
          <w:rFonts w:ascii="Arial" w:hAnsi="Arial" w:cs="Arial"/>
        </w:rPr>
      </w:pPr>
    </w:p>
    <w:p w:rsidR="00003F16" w:rsidRPr="000C0BA6" w:rsidRDefault="00003F16" w:rsidP="00003F16">
      <w:pPr>
        <w:pStyle w:val="PlainText"/>
        <w:rPr>
          <w:rFonts w:ascii="Arial" w:hAnsi="Arial" w:cs="Arial"/>
          <w:sz w:val="24"/>
          <w:szCs w:val="24"/>
        </w:rPr>
      </w:pPr>
      <w:r w:rsidRPr="000C0BA6">
        <w:rPr>
          <w:rFonts w:ascii="Arial" w:hAnsi="Arial" w:cs="Arial"/>
          <w:sz w:val="24"/>
          <w:szCs w:val="24"/>
        </w:rPr>
        <w:t>It remain</w:t>
      </w:r>
      <w:r w:rsidR="00DC4994" w:rsidRPr="000C0BA6">
        <w:rPr>
          <w:rFonts w:ascii="Arial" w:hAnsi="Arial" w:cs="Arial"/>
          <w:sz w:val="24"/>
          <w:szCs w:val="24"/>
        </w:rPr>
        <w:t>s</w:t>
      </w:r>
      <w:r w:rsidRPr="000C0BA6">
        <w:rPr>
          <w:rFonts w:ascii="Arial" w:hAnsi="Arial" w:cs="Arial"/>
          <w:sz w:val="24"/>
          <w:szCs w:val="24"/>
        </w:rPr>
        <w:t xml:space="preserve"> an offence under the 1997 Police Act, and a breach of the DBS Code of Practice, for registered bodies such as IT</w:t>
      </w:r>
      <w:r w:rsidR="00627F06" w:rsidRPr="000C0BA6">
        <w:rPr>
          <w:rFonts w:ascii="Arial" w:hAnsi="Arial" w:cs="Arial"/>
          <w:sz w:val="24"/>
          <w:szCs w:val="24"/>
        </w:rPr>
        <w:t>T</w:t>
      </w:r>
      <w:r w:rsidRPr="000C0BA6">
        <w:rPr>
          <w:rFonts w:ascii="Arial" w:hAnsi="Arial" w:cs="Arial"/>
          <w:sz w:val="24"/>
          <w:szCs w:val="24"/>
        </w:rPr>
        <w:t xml:space="preserve"> providers to share copies of DBS c</w:t>
      </w:r>
      <w:r w:rsidR="00E419E9" w:rsidRPr="000C0BA6">
        <w:rPr>
          <w:rFonts w:ascii="Arial" w:hAnsi="Arial" w:cs="Arial"/>
          <w:sz w:val="24"/>
          <w:szCs w:val="24"/>
        </w:rPr>
        <w:t>ertificates</w:t>
      </w:r>
      <w:r w:rsidRPr="000C0BA6">
        <w:rPr>
          <w:rFonts w:ascii="Arial" w:hAnsi="Arial" w:cs="Arial"/>
          <w:sz w:val="24"/>
          <w:szCs w:val="24"/>
        </w:rPr>
        <w:t>, or any information contained in a trainee’s disclosure, with third parties such as schools</w:t>
      </w:r>
      <w:r w:rsidR="00D660A0" w:rsidRPr="000C0BA6">
        <w:rPr>
          <w:rFonts w:ascii="Arial" w:hAnsi="Arial" w:cs="Arial"/>
          <w:sz w:val="24"/>
          <w:szCs w:val="24"/>
        </w:rPr>
        <w:t xml:space="preserve"> or colleges</w:t>
      </w:r>
      <w:r w:rsidRPr="000C0BA6">
        <w:rPr>
          <w:rFonts w:ascii="Arial" w:hAnsi="Arial" w:cs="Arial"/>
          <w:sz w:val="24"/>
          <w:szCs w:val="24"/>
        </w:rPr>
        <w:t xml:space="preserve">.   </w:t>
      </w:r>
    </w:p>
    <w:p w:rsidR="008253F5" w:rsidRPr="000C0BA6" w:rsidRDefault="008253F5" w:rsidP="00003F16">
      <w:pPr>
        <w:pStyle w:val="PlainText"/>
        <w:rPr>
          <w:rFonts w:ascii="Arial" w:hAnsi="Arial" w:cs="Arial"/>
          <w:sz w:val="24"/>
          <w:szCs w:val="24"/>
        </w:rPr>
      </w:pPr>
    </w:p>
    <w:p w:rsidR="008253F5" w:rsidRPr="000C0BA6" w:rsidRDefault="008253F5" w:rsidP="00003F16">
      <w:pPr>
        <w:pStyle w:val="PlainText"/>
        <w:rPr>
          <w:rFonts w:ascii="Arial" w:hAnsi="Arial" w:cs="Arial"/>
          <w:sz w:val="24"/>
          <w:szCs w:val="24"/>
        </w:rPr>
      </w:pPr>
      <w:r w:rsidRPr="000C0BA6">
        <w:rPr>
          <w:rFonts w:ascii="Arial" w:hAnsi="Arial" w:cs="Arial"/>
          <w:sz w:val="24"/>
          <w:szCs w:val="24"/>
        </w:rPr>
        <w:t xml:space="preserve">Reaching agreement with schools and colleges about the kinds of offence that might be a barrier to recruitment or placement will reduce the likelihood of schools or colleges </w:t>
      </w:r>
      <w:r w:rsidR="00E419E9" w:rsidRPr="000C0BA6">
        <w:rPr>
          <w:rFonts w:ascii="Arial" w:hAnsi="Arial" w:cs="Arial"/>
          <w:sz w:val="24"/>
          <w:szCs w:val="24"/>
        </w:rPr>
        <w:t xml:space="preserve">wanting to </w:t>
      </w:r>
      <w:r w:rsidRPr="000C0BA6">
        <w:rPr>
          <w:rFonts w:ascii="Arial" w:hAnsi="Arial" w:cs="Arial"/>
          <w:sz w:val="24"/>
          <w:szCs w:val="24"/>
        </w:rPr>
        <w:t xml:space="preserve">request information about the content of </w:t>
      </w:r>
      <w:r w:rsidR="00E419E9" w:rsidRPr="000C0BA6">
        <w:rPr>
          <w:rFonts w:ascii="Arial" w:hAnsi="Arial" w:cs="Arial"/>
          <w:sz w:val="24"/>
          <w:szCs w:val="24"/>
        </w:rPr>
        <w:t xml:space="preserve">certificates </w:t>
      </w:r>
      <w:r w:rsidRPr="000C0BA6">
        <w:rPr>
          <w:rFonts w:ascii="Arial" w:hAnsi="Arial" w:cs="Arial"/>
          <w:sz w:val="24"/>
          <w:szCs w:val="24"/>
        </w:rPr>
        <w:t xml:space="preserve">direct from trainees. If non-salaried trainees are asked by schools or colleges for such information they are not under any obligation to agree.  </w:t>
      </w:r>
    </w:p>
    <w:p w:rsidR="00003F16" w:rsidRPr="000C0BA6" w:rsidRDefault="00003F16" w:rsidP="00003F16">
      <w:pPr>
        <w:rPr>
          <w:rFonts w:ascii="Arial" w:hAnsi="Arial" w:cs="Arial"/>
        </w:rPr>
      </w:pPr>
    </w:p>
    <w:p w:rsidR="00003F16" w:rsidRPr="000C0BA6" w:rsidRDefault="00003F16" w:rsidP="00003F16">
      <w:pPr>
        <w:rPr>
          <w:rFonts w:ascii="Arial" w:hAnsi="Arial" w:cs="Arial"/>
          <w:b/>
          <w:iCs/>
        </w:rPr>
      </w:pPr>
      <w:r w:rsidRPr="000C0BA6">
        <w:rPr>
          <w:rFonts w:ascii="Arial" w:hAnsi="Arial" w:cs="Arial"/>
          <w:b/>
          <w:iCs/>
        </w:rPr>
        <w:t>Childcare Disqualification Regulations</w:t>
      </w:r>
    </w:p>
    <w:p w:rsidR="00003F16" w:rsidRPr="000C0BA6" w:rsidRDefault="00003F16" w:rsidP="00003F16">
      <w:pPr>
        <w:rPr>
          <w:rFonts w:ascii="Arial" w:hAnsi="Arial" w:cs="Arial"/>
          <w:b/>
          <w:iCs/>
        </w:rPr>
      </w:pPr>
    </w:p>
    <w:p w:rsidR="00316025" w:rsidRPr="000C0BA6" w:rsidRDefault="00003F16" w:rsidP="00003F16">
      <w:pPr>
        <w:rPr>
          <w:rFonts w:ascii="Arial" w:hAnsi="Arial" w:cs="Arial"/>
        </w:rPr>
      </w:pPr>
      <w:r w:rsidRPr="000C0BA6">
        <w:rPr>
          <w:rFonts w:ascii="Arial" w:hAnsi="Arial" w:cs="Arial"/>
        </w:rPr>
        <w:t xml:space="preserve">New </w:t>
      </w:r>
      <w:r w:rsidR="00316025" w:rsidRPr="000C0BA6">
        <w:rPr>
          <w:rFonts w:ascii="Arial" w:hAnsi="Arial" w:cs="Arial"/>
        </w:rPr>
        <w:t xml:space="preserve">guidance on </w:t>
      </w:r>
      <w:r w:rsidRPr="000C0BA6">
        <w:rPr>
          <w:rFonts w:ascii="Arial" w:hAnsi="Arial" w:cs="Arial"/>
        </w:rPr>
        <w:t xml:space="preserve">regulations require </w:t>
      </w:r>
      <w:r w:rsidR="00021733" w:rsidRPr="000C0BA6">
        <w:rPr>
          <w:rFonts w:ascii="Arial" w:hAnsi="Arial" w:cs="Arial"/>
        </w:rPr>
        <w:t xml:space="preserve">those who work </w:t>
      </w:r>
      <w:r w:rsidRPr="000C0BA6">
        <w:rPr>
          <w:rFonts w:ascii="Arial" w:hAnsi="Arial" w:cs="Arial"/>
        </w:rPr>
        <w:t xml:space="preserve">in childcare or early years settings to disclose to </w:t>
      </w:r>
      <w:r w:rsidR="003F2CB2" w:rsidRPr="000C0BA6">
        <w:rPr>
          <w:rFonts w:ascii="Arial" w:hAnsi="Arial" w:cs="Arial"/>
        </w:rPr>
        <w:t xml:space="preserve">whether they </w:t>
      </w:r>
      <w:r w:rsidR="00BC3218" w:rsidRPr="000C0BA6">
        <w:rPr>
          <w:rFonts w:ascii="Arial" w:hAnsi="Arial" w:cs="Arial"/>
        </w:rPr>
        <w:t xml:space="preserve">or </w:t>
      </w:r>
      <w:r w:rsidR="003F2CB2" w:rsidRPr="000C0BA6">
        <w:rPr>
          <w:rFonts w:ascii="Arial" w:hAnsi="Arial" w:cs="Arial"/>
        </w:rPr>
        <w:t>(as far as they are aware) members of their households are disqualified from working in childcare settings</w:t>
      </w:r>
      <w:r w:rsidR="00316025" w:rsidRPr="000C0BA6">
        <w:rPr>
          <w:rFonts w:ascii="Arial" w:hAnsi="Arial" w:cs="Arial"/>
        </w:rPr>
        <w:t xml:space="preserve">. </w:t>
      </w:r>
      <w:r w:rsidR="00BD09A4" w:rsidRPr="000C0BA6">
        <w:rPr>
          <w:rFonts w:ascii="Arial" w:hAnsi="Arial" w:cs="Arial"/>
        </w:rPr>
        <w:t>B</w:t>
      </w:r>
      <w:r w:rsidR="009179C1" w:rsidRPr="000C0BA6">
        <w:rPr>
          <w:rFonts w:ascii="Arial" w:hAnsi="Arial" w:cs="Arial"/>
        </w:rPr>
        <w:t xml:space="preserve">oth new and existing </w:t>
      </w:r>
      <w:r w:rsidR="00677185" w:rsidRPr="000C0BA6">
        <w:rPr>
          <w:rFonts w:ascii="Arial" w:hAnsi="Arial" w:cs="Arial"/>
        </w:rPr>
        <w:t>ITT students are covered by this. Those training on routes covering the 3</w:t>
      </w:r>
      <w:r w:rsidR="004A6EB0" w:rsidRPr="000C0BA6">
        <w:rPr>
          <w:rFonts w:ascii="Arial" w:hAnsi="Arial" w:cs="Arial"/>
        </w:rPr>
        <w:t>-</w:t>
      </w:r>
      <w:r w:rsidR="00677185" w:rsidRPr="000C0BA6">
        <w:rPr>
          <w:rFonts w:ascii="Arial" w:hAnsi="Arial" w:cs="Arial"/>
        </w:rPr>
        <w:t xml:space="preserve">5 age range, and those on programmes that involve the provision of support (e.g. in relation to breakfast or after school clubs) </w:t>
      </w:r>
      <w:r w:rsidR="004A6EB0" w:rsidRPr="000C0BA6">
        <w:rPr>
          <w:rFonts w:ascii="Arial" w:hAnsi="Arial" w:cs="Arial"/>
        </w:rPr>
        <w:t xml:space="preserve">for children aged up to 8 years </w:t>
      </w:r>
      <w:r w:rsidR="00677185" w:rsidRPr="000C0BA6">
        <w:rPr>
          <w:rFonts w:ascii="Arial" w:hAnsi="Arial" w:cs="Arial"/>
        </w:rPr>
        <w:t xml:space="preserve">are most likely to be affected. </w:t>
      </w:r>
      <w:r w:rsidR="00316025" w:rsidRPr="000C0BA6">
        <w:rPr>
          <w:rFonts w:ascii="Arial" w:hAnsi="Arial" w:cs="Arial"/>
        </w:rPr>
        <w:t xml:space="preserve"> </w:t>
      </w:r>
    </w:p>
    <w:p w:rsidR="00D515AD" w:rsidRPr="000C0BA6" w:rsidRDefault="00D515AD" w:rsidP="00003F16">
      <w:pPr>
        <w:rPr>
          <w:rFonts w:ascii="Arial" w:hAnsi="Arial" w:cs="Arial"/>
        </w:rPr>
      </w:pPr>
    </w:p>
    <w:p w:rsidR="00CD72E6" w:rsidRPr="000C0BA6" w:rsidRDefault="00D515AD" w:rsidP="00003F16">
      <w:pPr>
        <w:rPr>
          <w:rFonts w:ascii="Arial" w:hAnsi="Arial" w:cs="Arial"/>
        </w:rPr>
      </w:pPr>
      <w:r w:rsidRPr="000C0BA6">
        <w:rPr>
          <w:rFonts w:ascii="Arial" w:hAnsi="Arial" w:cs="Arial"/>
        </w:rPr>
        <w:t xml:space="preserve">The Department for Education has published statutory guidance on the application to schools of the Childcare (Disqualification) Regulations 2009 and related obligations </w:t>
      </w:r>
      <w:r w:rsidRPr="000C0BA6">
        <w:rPr>
          <w:rFonts w:ascii="Arial" w:hAnsi="Arial" w:cs="Arial"/>
        </w:rPr>
        <w:lastRenderedPageBreak/>
        <w:t xml:space="preserve">under the Childcare Act 2006. ITT providers should have regard to this statutory guidance when carrying out their duties to safeguard and promote the welfare of children. </w:t>
      </w:r>
      <w:hyperlink r:id="rId15" w:history="1">
        <w:r w:rsidRPr="000C0BA6">
          <w:rPr>
            <w:rStyle w:val="Hyperlink"/>
            <w:rFonts w:ascii="Arial" w:hAnsi="Arial" w:cs="Arial"/>
            <w:color w:val="auto"/>
          </w:rPr>
          <w:t>https://www.gov.uk/government/publications/disqualification-under-the-childcare-act-2006</w:t>
        </w:r>
      </w:hyperlink>
    </w:p>
    <w:p w:rsidR="00316025" w:rsidRPr="000C0BA6" w:rsidRDefault="00316025" w:rsidP="00003F16">
      <w:pPr>
        <w:rPr>
          <w:rFonts w:ascii="Arial" w:hAnsi="Arial" w:cs="Arial"/>
        </w:rPr>
      </w:pPr>
    </w:p>
    <w:p w:rsidR="00D660A0" w:rsidRPr="000C0BA6" w:rsidRDefault="00D660A0" w:rsidP="00003F16">
      <w:pPr>
        <w:rPr>
          <w:rFonts w:ascii="Arial" w:hAnsi="Arial" w:cs="Arial"/>
        </w:rPr>
      </w:pPr>
      <w:r w:rsidRPr="000C0BA6">
        <w:rPr>
          <w:rFonts w:ascii="Arial" w:hAnsi="Arial" w:cs="Arial"/>
        </w:rPr>
        <w:t xml:space="preserve">New and existing trainees </w:t>
      </w:r>
      <w:r w:rsidR="00DC4994" w:rsidRPr="000C0BA6">
        <w:rPr>
          <w:rFonts w:ascii="Arial" w:hAnsi="Arial" w:cs="Arial"/>
        </w:rPr>
        <w:t xml:space="preserve">who </w:t>
      </w:r>
      <w:r w:rsidRPr="000C0BA6">
        <w:rPr>
          <w:rFonts w:ascii="Arial" w:hAnsi="Arial" w:cs="Arial"/>
        </w:rPr>
        <w:t>might be covered by the regulation should be asked to confirm in writing that neither they or</w:t>
      </w:r>
      <w:r w:rsidR="005F0D37" w:rsidRPr="000C0BA6">
        <w:rPr>
          <w:rFonts w:ascii="Arial" w:hAnsi="Arial" w:cs="Arial"/>
        </w:rPr>
        <w:t>,</w:t>
      </w:r>
      <w:r w:rsidRPr="000C0BA6">
        <w:rPr>
          <w:rFonts w:ascii="Arial" w:hAnsi="Arial" w:cs="Arial"/>
        </w:rPr>
        <w:t xml:space="preserve"> as far as they are aware</w:t>
      </w:r>
      <w:r w:rsidR="005F0D37" w:rsidRPr="000C0BA6">
        <w:rPr>
          <w:rFonts w:ascii="Arial" w:hAnsi="Arial" w:cs="Arial"/>
        </w:rPr>
        <w:t>,</w:t>
      </w:r>
      <w:r w:rsidRPr="000C0BA6">
        <w:rPr>
          <w:rFonts w:ascii="Arial" w:hAnsi="Arial" w:cs="Arial"/>
        </w:rPr>
        <w:t xml:space="preserve"> members of their household are disqualified. They should also be asked to </w:t>
      </w:r>
      <w:r w:rsidR="00DC4994" w:rsidRPr="000C0BA6">
        <w:rPr>
          <w:rFonts w:ascii="Arial" w:hAnsi="Arial" w:cs="Arial"/>
        </w:rPr>
        <w:t xml:space="preserve">inform </w:t>
      </w:r>
      <w:r w:rsidRPr="000C0BA6">
        <w:rPr>
          <w:rFonts w:ascii="Arial" w:hAnsi="Arial" w:cs="Arial"/>
        </w:rPr>
        <w:t xml:space="preserve">the provider during their training </w:t>
      </w:r>
      <w:r w:rsidR="00DC4994" w:rsidRPr="000C0BA6">
        <w:rPr>
          <w:rFonts w:ascii="Arial" w:hAnsi="Arial" w:cs="Arial"/>
        </w:rPr>
        <w:t xml:space="preserve">if </w:t>
      </w:r>
      <w:r w:rsidRPr="000C0BA6">
        <w:rPr>
          <w:rFonts w:ascii="Arial" w:hAnsi="Arial" w:cs="Arial"/>
        </w:rPr>
        <w:t>the</w:t>
      </w:r>
      <w:r w:rsidR="00DC4994" w:rsidRPr="000C0BA6">
        <w:rPr>
          <w:rFonts w:ascii="Arial" w:hAnsi="Arial" w:cs="Arial"/>
        </w:rPr>
        <w:t>y or a member of their household become</w:t>
      </w:r>
      <w:r w:rsidR="00021733" w:rsidRPr="000C0BA6">
        <w:rPr>
          <w:rFonts w:ascii="Arial" w:hAnsi="Arial" w:cs="Arial"/>
        </w:rPr>
        <w:t>s</w:t>
      </w:r>
      <w:r w:rsidR="00DC4994" w:rsidRPr="000C0BA6">
        <w:rPr>
          <w:rFonts w:ascii="Arial" w:hAnsi="Arial" w:cs="Arial"/>
        </w:rPr>
        <w:t xml:space="preserve"> disqualified. </w:t>
      </w:r>
      <w:r w:rsidRPr="000C0BA6">
        <w:rPr>
          <w:rFonts w:ascii="Arial" w:hAnsi="Arial" w:cs="Arial"/>
        </w:rPr>
        <w:t xml:space="preserve">If they or a member of their household are disqualified, they will either need a waiver from OFSTED or the location or nature of their training </w:t>
      </w:r>
      <w:r w:rsidR="00DC4994" w:rsidRPr="000C0BA6">
        <w:rPr>
          <w:rFonts w:ascii="Arial" w:hAnsi="Arial" w:cs="Arial"/>
        </w:rPr>
        <w:t xml:space="preserve">should </w:t>
      </w:r>
      <w:r w:rsidRPr="000C0BA6">
        <w:rPr>
          <w:rFonts w:ascii="Arial" w:hAnsi="Arial" w:cs="Arial"/>
        </w:rPr>
        <w:t>be changed so the</w:t>
      </w:r>
      <w:r w:rsidR="005F0D37" w:rsidRPr="000C0BA6">
        <w:rPr>
          <w:rFonts w:ascii="Arial" w:hAnsi="Arial" w:cs="Arial"/>
        </w:rPr>
        <w:t xml:space="preserve"> trainee</w:t>
      </w:r>
      <w:r w:rsidRPr="000C0BA6">
        <w:rPr>
          <w:rFonts w:ascii="Arial" w:hAnsi="Arial" w:cs="Arial"/>
        </w:rPr>
        <w:t xml:space="preserve"> </w:t>
      </w:r>
      <w:r w:rsidR="00021733" w:rsidRPr="000C0BA6">
        <w:rPr>
          <w:rFonts w:ascii="Arial" w:hAnsi="Arial" w:cs="Arial"/>
        </w:rPr>
        <w:t>is</w:t>
      </w:r>
      <w:r w:rsidRPr="000C0BA6">
        <w:rPr>
          <w:rFonts w:ascii="Arial" w:hAnsi="Arial" w:cs="Arial"/>
        </w:rPr>
        <w:t xml:space="preserve"> n</w:t>
      </w:r>
      <w:r w:rsidR="00DC4994" w:rsidRPr="000C0BA6">
        <w:rPr>
          <w:rFonts w:ascii="Arial" w:hAnsi="Arial" w:cs="Arial"/>
        </w:rPr>
        <w:t>o</w:t>
      </w:r>
      <w:r w:rsidRPr="000C0BA6">
        <w:rPr>
          <w:rFonts w:ascii="Arial" w:hAnsi="Arial" w:cs="Arial"/>
        </w:rPr>
        <w:t xml:space="preserve"> longer covered by the disqualification re</w:t>
      </w:r>
      <w:r w:rsidR="00DC4994" w:rsidRPr="000C0BA6">
        <w:rPr>
          <w:rFonts w:ascii="Arial" w:hAnsi="Arial" w:cs="Arial"/>
        </w:rPr>
        <w:t>gulations</w:t>
      </w:r>
      <w:r w:rsidRPr="000C0BA6">
        <w:rPr>
          <w:rFonts w:ascii="Arial" w:hAnsi="Arial" w:cs="Arial"/>
        </w:rPr>
        <w:t xml:space="preserve">. </w:t>
      </w:r>
    </w:p>
    <w:p w:rsidR="008253F5" w:rsidRPr="000C0BA6" w:rsidRDefault="008253F5" w:rsidP="00003F16">
      <w:pPr>
        <w:rPr>
          <w:rFonts w:ascii="Arial" w:hAnsi="Arial" w:cs="Arial"/>
        </w:rPr>
      </w:pPr>
    </w:p>
    <w:p w:rsidR="008253F5" w:rsidRPr="000C0BA6" w:rsidRDefault="008253F5" w:rsidP="00003F16">
      <w:pPr>
        <w:rPr>
          <w:rFonts w:ascii="Arial" w:hAnsi="Arial" w:cs="Arial"/>
        </w:rPr>
      </w:pPr>
      <w:r w:rsidRPr="000C0BA6">
        <w:rPr>
          <w:rFonts w:ascii="Arial" w:hAnsi="Arial" w:cs="Arial"/>
        </w:rPr>
        <w:t xml:space="preserve">Training providers should confirm to schools that declarations relating to the disqualification requirements have been obtained. Schools are advised to record this fact in their central record. </w:t>
      </w:r>
    </w:p>
    <w:p w:rsidR="00D660A0" w:rsidRPr="000C0BA6" w:rsidRDefault="00D660A0" w:rsidP="00003F16">
      <w:pPr>
        <w:rPr>
          <w:rFonts w:ascii="Arial" w:hAnsi="Arial" w:cs="Arial"/>
        </w:rPr>
      </w:pPr>
    </w:p>
    <w:p w:rsidR="00003F16" w:rsidRPr="000C0BA6" w:rsidRDefault="00CD0DDA" w:rsidP="00003F16">
      <w:pPr>
        <w:rPr>
          <w:rFonts w:ascii="Arial" w:hAnsi="Arial" w:cs="Arial"/>
        </w:rPr>
      </w:pPr>
      <w:r w:rsidRPr="000C0BA6">
        <w:rPr>
          <w:rFonts w:ascii="Arial" w:hAnsi="Arial" w:cs="Arial"/>
        </w:rPr>
        <w:t>The criteria for disqualification are:</w:t>
      </w:r>
    </w:p>
    <w:p w:rsidR="00CD0DDA" w:rsidRPr="000C0BA6" w:rsidRDefault="00CD0DDA" w:rsidP="00003F16">
      <w:pPr>
        <w:rPr>
          <w:rFonts w:ascii="Arial" w:hAnsi="Arial" w:cs="Arial"/>
        </w:rPr>
      </w:pPr>
    </w:p>
    <w:p w:rsidR="00C961EB" w:rsidRPr="000C0BA6" w:rsidRDefault="00316025" w:rsidP="00316025">
      <w:pPr>
        <w:pStyle w:val="Default"/>
        <w:numPr>
          <w:ilvl w:val="0"/>
          <w:numId w:val="37"/>
        </w:numPr>
        <w:spacing w:after="166"/>
        <w:ind w:left="1080"/>
        <w:rPr>
          <w:iCs/>
          <w:color w:val="auto"/>
        </w:rPr>
      </w:pPr>
      <w:r w:rsidRPr="000C0BA6">
        <w:rPr>
          <w:iCs/>
          <w:color w:val="auto"/>
        </w:rPr>
        <w:t>I</w:t>
      </w:r>
      <w:r w:rsidR="00C961EB" w:rsidRPr="000C0BA6">
        <w:rPr>
          <w:iCs/>
          <w:color w:val="auto"/>
        </w:rPr>
        <w:t xml:space="preserve">nclusion </w:t>
      </w:r>
      <w:r w:rsidR="00C61E12" w:rsidRPr="000C0BA6">
        <w:rPr>
          <w:iCs/>
          <w:color w:val="auto"/>
        </w:rPr>
        <w:t>in a</w:t>
      </w:r>
      <w:r w:rsidR="00C961EB" w:rsidRPr="000C0BA6">
        <w:rPr>
          <w:iCs/>
          <w:color w:val="auto"/>
        </w:rPr>
        <w:t xml:space="preserve"> Disclosure and Barring Service (DBS) Children’s Barred List</w:t>
      </w:r>
    </w:p>
    <w:p w:rsidR="00C961EB" w:rsidRPr="000C0BA6" w:rsidRDefault="00316025" w:rsidP="00316025">
      <w:pPr>
        <w:pStyle w:val="Default"/>
        <w:numPr>
          <w:ilvl w:val="0"/>
          <w:numId w:val="37"/>
        </w:numPr>
        <w:spacing w:after="166"/>
        <w:ind w:left="1080"/>
        <w:rPr>
          <w:iCs/>
          <w:color w:val="auto"/>
        </w:rPr>
      </w:pPr>
      <w:r w:rsidRPr="000C0BA6">
        <w:rPr>
          <w:iCs/>
          <w:color w:val="auto"/>
        </w:rPr>
        <w:t>B</w:t>
      </w:r>
      <w:r w:rsidR="00C961EB" w:rsidRPr="000C0BA6">
        <w:rPr>
          <w:iCs/>
          <w:color w:val="auto"/>
        </w:rPr>
        <w:t>eing found to have committed certain violent and sexual criminal offences against children and adults which are referred to in regulation 4 and Schedules 2 and 3 of the 2009 Regulations (note that regulation 4 also refers to offences that are listed in other pieces of legislation)</w:t>
      </w:r>
    </w:p>
    <w:p w:rsidR="00C961EB" w:rsidRPr="000C0BA6" w:rsidRDefault="00316025" w:rsidP="00316025">
      <w:pPr>
        <w:pStyle w:val="Default"/>
        <w:numPr>
          <w:ilvl w:val="0"/>
          <w:numId w:val="37"/>
        </w:numPr>
        <w:spacing w:after="166"/>
        <w:ind w:left="1080"/>
        <w:rPr>
          <w:iCs/>
          <w:color w:val="auto"/>
        </w:rPr>
      </w:pPr>
      <w:r w:rsidRPr="000C0BA6">
        <w:rPr>
          <w:iCs/>
          <w:color w:val="auto"/>
        </w:rPr>
        <w:t>C</w:t>
      </w:r>
      <w:r w:rsidR="00C961EB" w:rsidRPr="000C0BA6">
        <w:rPr>
          <w:iCs/>
          <w:color w:val="auto"/>
        </w:rPr>
        <w:t>ertain orders made in relation to the care of children which are referred to in regulation 4 and listed at Schedule 1 of the 2009 Regulations</w:t>
      </w:r>
    </w:p>
    <w:p w:rsidR="00C961EB" w:rsidRPr="000C0BA6" w:rsidRDefault="00316025" w:rsidP="00316025">
      <w:pPr>
        <w:pStyle w:val="Default"/>
        <w:numPr>
          <w:ilvl w:val="0"/>
          <w:numId w:val="37"/>
        </w:numPr>
        <w:spacing w:after="166"/>
        <w:ind w:left="1080"/>
        <w:rPr>
          <w:iCs/>
          <w:color w:val="auto"/>
        </w:rPr>
      </w:pPr>
      <w:r w:rsidRPr="000C0BA6">
        <w:rPr>
          <w:iCs/>
          <w:color w:val="auto"/>
        </w:rPr>
        <w:t>R</w:t>
      </w:r>
      <w:r w:rsidR="00C961EB" w:rsidRPr="000C0BA6">
        <w:rPr>
          <w:iCs/>
          <w:color w:val="auto"/>
        </w:rPr>
        <w:t>efusal or cancellation of registration relating to childcare,</w:t>
      </w:r>
      <w:r w:rsidR="009179C1" w:rsidRPr="000C0BA6">
        <w:rPr>
          <w:iCs/>
          <w:color w:val="auto"/>
        </w:rPr>
        <w:t xml:space="preserve"> </w:t>
      </w:r>
      <w:r w:rsidR="00C961EB" w:rsidRPr="000C0BA6">
        <w:rPr>
          <w:iCs/>
          <w:color w:val="auto"/>
        </w:rPr>
        <w:t>or children’s homes, or being prohibited from private fostering, as specified in Schedule 1 of the 2009 Regulations</w:t>
      </w:r>
    </w:p>
    <w:p w:rsidR="00C961EB" w:rsidRPr="000C0BA6" w:rsidRDefault="00316025" w:rsidP="00316025">
      <w:pPr>
        <w:pStyle w:val="Default"/>
        <w:numPr>
          <w:ilvl w:val="0"/>
          <w:numId w:val="37"/>
        </w:numPr>
        <w:spacing w:after="166"/>
        <w:ind w:left="1080"/>
        <w:rPr>
          <w:iCs/>
          <w:color w:val="auto"/>
        </w:rPr>
      </w:pPr>
      <w:r w:rsidRPr="000C0BA6">
        <w:rPr>
          <w:iCs/>
          <w:color w:val="auto"/>
        </w:rPr>
        <w:t>L</w:t>
      </w:r>
      <w:r w:rsidR="00C961EB" w:rsidRPr="000C0BA6">
        <w:rPr>
          <w:iCs/>
          <w:color w:val="auto"/>
        </w:rPr>
        <w:t>iving in the same household where another person who is disqualified lives or is employed (disqualification ‘by association’) as specified in regulation 9 of the 2009 Regulations</w:t>
      </w:r>
    </w:p>
    <w:p w:rsidR="00C961EB" w:rsidRPr="000C0BA6" w:rsidRDefault="00316025" w:rsidP="00316025">
      <w:pPr>
        <w:pStyle w:val="Default"/>
        <w:numPr>
          <w:ilvl w:val="0"/>
          <w:numId w:val="37"/>
        </w:numPr>
        <w:ind w:left="1080"/>
        <w:rPr>
          <w:iCs/>
          <w:color w:val="auto"/>
        </w:rPr>
      </w:pPr>
      <w:r w:rsidRPr="000C0BA6">
        <w:rPr>
          <w:iCs/>
          <w:color w:val="auto"/>
        </w:rPr>
        <w:t>B</w:t>
      </w:r>
      <w:r w:rsidR="00C961EB" w:rsidRPr="000C0BA6">
        <w:rPr>
          <w:iCs/>
          <w:color w:val="auto"/>
        </w:rPr>
        <w:t>eing found to have committed an offence overseas which would constitute an offence regarding disqualification under the 2009 Regulations if it had been done in any part of the United Kingdom</w:t>
      </w:r>
    </w:p>
    <w:p w:rsidR="00C961EB" w:rsidRPr="000C0BA6" w:rsidRDefault="00C961EB" w:rsidP="00316025">
      <w:pPr>
        <w:pStyle w:val="Default"/>
        <w:ind w:left="360"/>
        <w:rPr>
          <w:iCs/>
          <w:color w:val="auto"/>
        </w:rPr>
      </w:pPr>
    </w:p>
    <w:p w:rsidR="00C961EB" w:rsidRPr="000C0BA6" w:rsidRDefault="00316025" w:rsidP="00C961EB">
      <w:pPr>
        <w:rPr>
          <w:rFonts w:ascii="Arial" w:hAnsi="Arial" w:cs="Arial"/>
          <w:iCs/>
        </w:rPr>
      </w:pPr>
      <w:r w:rsidRPr="000C0BA6">
        <w:rPr>
          <w:rFonts w:ascii="Arial" w:hAnsi="Arial" w:cs="Arial"/>
          <w:iCs/>
        </w:rPr>
        <w:t xml:space="preserve">The disqualification </w:t>
      </w:r>
      <w:r w:rsidR="00BC3218" w:rsidRPr="000C0BA6">
        <w:rPr>
          <w:rFonts w:ascii="Arial" w:hAnsi="Arial" w:cs="Arial"/>
          <w:iCs/>
        </w:rPr>
        <w:t>b</w:t>
      </w:r>
      <w:r w:rsidRPr="000C0BA6">
        <w:rPr>
          <w:rFonts w:ascii="Arial" w:hAnsi="Arial" w:cs="Arial"/>
          <w:iCs/>
        </w:rPr>
        <w:t xml:space="preserve">y association criteria relates to people living in the same household as a trainee. </w:t>
      </w:r>
      <w:r w:rsidR="00C961EB" w:rsidRPr="000C0BA6">
        <w:rPr>
          <w:rFonts w:ascii="Arial" w:hAnsi="Arial" w:cs="Arial"/>
          <w:iCs/>
        </w:rPr>
        <w:t>The accepted definition of a ‘household’ is:</w:t>
      </w:r>
    </w:p>
    <w:p w:rsidR="00C961EB" w:rsidRPr="000C0BA6" w:rsidRDefault="00C961EB" w:rsidP="00316025">
      <w:pPr>
        <w:numPr>
          <w:ilvl w:val="0"/>
          <w:numId w:val="38"/>
        </w:numPr>
        <w:shd w:val="clear" w:color="auto" w:fill="FFFFFF"/>
        <w:spacing w:before="107" w:after="107"/>
        <w:rPr>
          <w:rFonts w:ascii="Arial" w:hAnsi="Arial" w:cs="Arial"/>
        </w:rPr>
      </w:pPr>
      <w:r w:rsidRPr="000C0BA6">
        <w:rPr>
          <w:rFonts w:ascii="Arial" w:hAnsi="Arial" w:cs="Arial"/>
        </w:rPr>
        <w:t xml:space="preserve">One person or a group of people who have the accommodation as their only or main residence </w:t>
      </w:r>
      <w:r w:rsidR="00BC3218" w:rsidRPr="000C0BA6">
        <w:rPr>
          <w:rFonts w:ascii="Arial" w:hAnsi="Arial" w:cs="Arial"/>
        </w:rPr>
        <w:t>and</w:t>
      </w:r>
      <w:r w:rsidRPr="000C0BA6">
        <w:rPr>
          <w:rFonts w:ascii="Arial" w:hAnsi="Arial" w:cs="Arial"/>
        </w:rPr>
        <w:t xml:space="preserve"> (for a group)</w:t>
      </w:r>
      <w:r w:rsidR="00316025" w:rsidRPr="000C0BA6">
        <w:rPr>
          <w:rFonts w:ascii="Arial" w:hAnsi="Arial" w:cs="Arial"/>
        </w:rPr>
        <w:t xml:space="preserve">: </w:t>
      </w:r>
      <w:r w:rsidRPr="000C0BA6">
        <w:rPr>
          <w:rFonts w:ascii="Arial" w:hAnsi="Arial" w:cs="Arial"/>
        </w:rPr>
        <w:t>either share at least one meal a day</w:t>
      </w:r>
      <w:r w:rsidR="00316025" w:rsidRPr="000C0BA6">
        <w:rPr>
          <w:rFonts w:ascii="Arial" w:hAnsi="Arial" w:cs="Arial"/>
        </w:rPr>
        <w:t>;</w:t>
      </w:r>
      <w:r w:rsidRPr="000C0BA6">
        <w:rPr>
          <w:rFonts w:ascii="Arial" w:hAnsi="Arial" w:cs="Arial"/>
        </w:rPr>
        <w:t xml:space="preserve"> or</w:t>
      </w:r>
      <w:r w:rsidR="00316025" w:rsidRPr="000C0BA6">
        <w:rPr>
          <w:rFonts w:ascii="Arial" w:hAnsi="Arial" w:cs="Arial"/>
        </w:rPr>
        <w:t xml:space="preserve"> </w:t>
      </w:r>
      <w:r w:rsidRPr="000C0BA6">
        <w:rPr>
          <w:rFonts w:ascii="Arial" w:hAnsi="Arial" w:cs="Arial"/>
        </w:rPr>
        <w:t>share the living accommodation</w:t>
      </w:r>
      <w:r w:rsidR="00BC3218" w:rsidRPr="000C0BA6">
        <w:rPr>
          <w:rFonts w:ascii="Arial" w:hAnsi="Arial" w:cs="Arial"/>
        </w:rPr>
        <w:t xml:space="preserve"> (</w:t>
      </w:r>
      <w:r w:rsidRPr="000C0BA6">
        <w:rPr>
          <w:rFonts w:ascii="Arial" w:hAnsi="Arial" w:cs="Arial"/>
        </w:rPr>
        <w:t>that is, a living room or sitting room</w:t>
      </w:r>
      <w:r w:rsidR="00BC3218" w:rsidRPr="000C0BA6">
        <w:rPr>
          <w:rFonts w:ascii="Arial" w:hAnsi="Arial" w:cs="Arial"/>
        </w:rPr>
        <w:t>)</w:t>
      </w:r>
      <w:r w:rsidRPr="000C0BA6">
        <w:rPr>
          <w:rFonts w:ascii="Arial" w:hAnsi="Arial" w:cs="Arial"/>
        </w:rPr>
        <w:t>.</w:t>
      </w:r>
    </w:p>
    <w:p w:rsidR="00C961EB" w:rsidRPr="000C0BA6" w:rsidRDefault="00C961EB" w:rsidP="00316025">
      <w:pPr>
        <w:numPr>
          <w:ilvl w:val="0"/>
          <w:numId w:val="38"/>
        </w:numPr>
        <w:shd w:val="clear" w:color="auto" w:fill="FFFFFF"/>
        <w:spacing w:before="107" w:after="107"/>
        <w:rPr>
          <w:rFonts w:ascii="Arial" w:hAnsi="Arial" w:cs="Arial"/>
        </w:rPr>
      </w:pPr>
      <w:r w:rsidRPr="000C0BA6">
        <w:rPr>
          <w:rFonts w:ascii="Arial" w:hAnsi="Arial" w:cs="Arial"/>
        </w:rPr>
        <w:t>The occupant(s) of a bedsit who do not share a sitting or living room with anyone else comprise a single household.</w:t>
      </w:r>
    </w:p>
    <w:p w:rsidR="00316025" w:rsidRPr="000C0BA6" w:rsidRDefault="00316025" w:rsidP="00C961EB">
      <w:pPr>
        <w:rPr>
          <w:rFonts w:ascii="Arial" w:hAnsi="Arial" w:cs="Arial"/>
        </w:rPr>
      </w:pPr>
      <w:r w:rsidRPr="000C0BA6">
        <w:rPr>
          <w:rFonts w:ascii="Arial" w:hAnsi="Arial" w:cs="Arial"/>
        </w:rPr>
        <w:t>Trainees only need to declare to providers that as far as they are aware no members of their households are disqualified. The</w:t>
      </w:r>
      <w:r w:rsidR="004A6EB0" w:rsidRPr="000C0BA6">
        <w:rPr>
          <w:rFonts w:ascii="Arial" w:hAnsi="Arial" w:cs="Arial"/>
        </w:rPr>
        <w:t>y</w:t>
      </w:r>
      <w:r w:rsidRPr="000C0BA6">
        <w:rPr>
          <w:rFonts w:ascii="Arial" w:hAnsi="Arial" w:cs="Arial"/>
        </w:rPr>
        <w:t xml:space="preserve"> should not be expected to seek declarations from the individuals concerned. </w:t>
      </w:r>
    </w:p>
    <w:p w:rsidR="00316025" w:rsidRPr="000C0BA6" w:rsidRDefault="00316025" w:rsidP="00C961EB">
      <w:pPr>
        <w:rPr>
          <w:rFonts w:ascii="Arial" w:hAnsi="Arial" w:cs="Arial"/>
        </w:rPr>
      </w:pPr>
    </w:p>
    <w:p w:rsidR="00003F16" w:rsidRPr="000C0BA6" w:rsidRDefault="00003F16" w:rsidP="00003F16">
      <w:pPr>
        <w:rPr>
          <w:rFonts w:ascii="Arial" w:hAnsi="Arial" w:cs="Arial"/>
          <w:b/>
        </w:rPr>
      </w:pPr>
      <w:r w:rsidRPr="000C0BA6">
        <w:rPr>
          <w:rFonts w:ascii="Arial" w:hAnsi="Arial" w:cs="Arial"/>
          <w:b/>
        </w:rPr>
        <w:t>Other points</w:t>
      </w:r>
    </w:p>
    <w:p w:rsidR="00003F16" w:rsidRPr="000C0BA6" w:rsidRDefault="00003F16" w:rsidP="00003F16">
      <w:pPr>
        <w:rPr>
          <w:rFonts w:ascii="Arial" w:hAnsi="Arial" w:cs="Arial"/>
        </w:rPr>
      </w:pPr>
    </w:p>
    <w:p w:rsidR="00003F16" w:rsidRPr="000C0BA6" w:rsidRDefault="00003F16" w:rsidP="00003F16">
      <w:pPr>
        <w:rPr>
          <w:rFonts w:ascii="Arial" w:hAnsi="Arial" w:cs="Arial"/>
        </w:rPr>
      </w:pPr>
      <w:r w:rsidRPr="000C0BA6">
        <w:rPr>
          <w:rFonts w:ascii="Arial" w:hAnsi="Arial" w:cs="Arial"/>
        </w:rPr>
        <w:t>Other things to take into account are:</w:t>
      </w:r>
    </w:p>
    <w:p w:rsidR="00003F16" w:rsidRPr="000C0BA6" w:rsidRDefault="00003F16" w:rsidP="00003F16">
      <w:pPr>
        <w:rPr>
          <w:rFonts w:ascii="Arial" w:hAnsi="Arial" w:cs="Arial"/>
        </w:rPr>
      </w:pPr>
    </w:p>
    <w:p w:rsidR="00627F06" w:rsidRPr="000C0BA6" w:rsidRDefault="00627F06" w:rsidP="00003F16">
      <w:pPr>
        <w:numPr>
          <w:ilvl w:val="0"/>
          <w:numId w:val="33"/>
        </w:numPr>
        <w:rPr>
          <w:rFonts w:ascii="Arial" w:hAnsi="Arial" w:cs="Arial"/>
        </w:rPr>
      </w:pPr>
      <w:r w:rsidRPr="000C0BA6">
        <w:rPr>
          <w:rFonts w:ascii="Arial" w:hAnsi="Arial" w:cs="Arial"/>
        </w:rPr>
        <w:t xml:space="preserve">It should be made clear to trainees that being cleared to train as a teacher is not the same as being cleared for employment, which will be at the discretion of the school or college concerned. </w:t>
      </w:r>
    </w:p>
    <w:p w:rsidR="00003F16" w:rsidRPr="000C0BA6" w:rsidRDefault="00003F16" w:rsidP="00003F16">
      <w:pPr>
        <w:numPr>
          <w:ilvl w:val="0"/>
          <w:numId w:val="33"/>
        </w:numPr>
        <w:rPr>
          <w:rFonts w:ascii="Arial" w:hAnsi="Arial" w:cs="Arial"/>
        </w:rPr>
      </w:pPr>
      <w:r w:rsidRPr="000C0BA6">
        <w:rPr>
          <w:rFonts w:ascii="Arial" w:hAnsi="Arial" w:cs="Arial"/>
        </w:rPr>
        <w:t xml:space="preserve">Trainees can, at the Head-teachers’ discretion, go into school pending the completion of a criminal records check provided that checks have been made against the DBS barred </w:t>
      </w:r>
      <w:r w:rsidR="00F72876">
        <w:rPr>
          <w:rFonts w:ascii="Arial" w:hAnsi="Arial" w:cs="Arial"/>
        </w:rPr>
        <w:t xml:space="preserve">and prohibition </w:t>
      </w:r>
      <w:r w:rsidRPr="000C0BA6">
        <w:rPr>
          <w:rFonts w:ascii="Arial" w:hAnsi="Arial" w:cs="Arial"/>
        </w:rPr>
        <w:t xml:space="preserve">lists and </w:t>
      </w:r>
      <w:r w:rsidR="00A5426C" w:rsidRPr="000C0BA6">
        <w:rPr>
          <w:rFonts w:ascii="Arial" w:hAnsi="Arial" w:cs="Arial"/>
        </w:rPr>
        <w:t xml:space="preserve">they have been </w:t>
      </w:r>
      <w:r w:rsidRPr="000C0BA6">
        <w:rPr>
          <w:rFonts w:ascii="Arial" w:hAnsi="Arial" w:cs="Arial"/>
        </w:rPr>
        <w:t xml:space="preserve">subject to normal recruitment procedures.  </w:t>
      </w:r>
    </w:p>
    <w:p w:rsidR="00003F16" w:rsidRPr="000C0BA6" w:rsidRDefault="00003F16" w:rsidP="00003F16">
      <w:pPr>
        <w:numPr>
          <w:ilvl w:val="0"/>
          <w:numId w:val="33"/>
        </w:numPr>
        <w:rPr>
          <w:rFonts w:ascii="Arial" w:hAnsi="Arial" w:cs="Arial"/>
        </w:rPr>
      </w:pPr>
      <w:r w:rsidRPr="000C0BA6">
        <w:rPr>
          <w:rFonts w:ascii="Arial" w:hAnsi="Arial" w:cs="Arial"/>
        </w:rPr>
        <w:t xml:space="preserve">There is no requirement to complete separate checks in respect of time spent in </w:t>
      </w:r>
      <w:r w:rsidR="00021733" w:rsidRPr="000C0BA6">
        <w:rPr>
          <w:rFonts w:ascii="Arial" w:hAnsi="Arial" w:cs="Arial"/>
        </w:rPr>
        <w:t xml:space="preserve">different </w:t>
      </w:r>
      <w:r w:rsidRPr="000C0BA6">
        <w:rPr>
          <w:rFonts w:ascii="Arial" w:hAnsi="Arial" w:cs="Arial"/>
        </w:rPr>
        <w:t>schools</w:t>
      </w:r>
    </w:p>
    <w:p w:rsidR="00003F16" w:rsidRPr="000C0BA6" w:rsidRDefault="00003F16" w:rsidP="00003F16">
      <w:pPr>
        <w:numPr>
          <w:ilvl w:val="0"/>
          <w:numId w:val="33"/>
        </w:numPr>
        <w:rPr>
          <w:rFonts w:ascii="Arial" w:hAnsi="Arial" w:cs="Arial"/>
        </w:rPr>
      </w:pPr>
      <w:r w:rsidRPr="000C0BA6">
        <w:rPr>
          <w:rFonts w:ascii="Arial" w:hAnsi="Arial" w:cs="Arial"/>
        </w:rPr>
        <w:t xml:space="preserve">Additional checks are not required during the course of programmes, including those lasting for more than three years. Requests for repeat disclosures should be refused unless there is cause for concern.  </w:t>
      </w:r>
    </w:p>
    <w:p w:rsidR="00003F16" w:rsidRPr="000C0BA6" w:rsidRDefault="00003F16" w:rsidP="00003F16">
      <w:pPr>
        <w:numPr>
          <w:ilvl w:val="0"/>
          <w:numId w:val="33"/>
        </w:numPr>
        <w:rPr>
          <w:rFonts w:ascii="Arial" w:hAnsi="Arial" w:cs="Arial"/>
        </w:rPr>
      </w:pPr>
      <w:r w:rsidRPr="000C0BA6">
        <w:rPr>
          <w:rFonts w:ascii="Arial" w:hAnsi="Arial" w:cs="Arial"/>
        </w:rPr>
        <w:t xml:space="preserve">Minor convictions or cautions from several years ago will not </w:t>
      </w:r>
      <w:r w:rsidR="00F72876">
        <w:rPr>
          <w:rFonts w:ascii="Arial" w:hAnsi="Arial" w:cs="Arial"/>
        </w:rPr>
        <w:t>b</w:t>
      </w:r>
      <w:r w:rsidRPr="000C0BA6">
        <w:rPr>
          <w:rFonts w:ascii="Arial" w:hAnsi="Arial" w:cs="Arial"/>
        </w:rPr>
        <w:t xml:space="preserve">e shown on enhanced DBS certificates. Providers, schools and colleges should not ask applicants about any such convictions or cautions.   </w:t>
      </w:r>
    </w:p>
    <w:p w:rsidR="00003F16" w:rsidRPr="000C0BA6" w:rsidRDefault="00003F16" w:rsidP="00003F16">
      <w:pPr>
        <w:numPr>
          <w:ilvl w:val="0"/>
          <w:numId w:val="33"/>
        </w:numPr>
        <w:rPr>
          <w:rFonts w:ascii="Arial" w:hAnsi="Arial" w:cs="Arial"/>
        </w:rPr>
      </w:pPr>
      <w:r w:rsidRPr="000C0BA6">
        <w:rPr>
          <w:rFonts w:ascii="Arial" w:hAnsi="Arial" w:cs="Arial"/>
        </w:rPr>
        <w:t>ITT tutors who only have occasional contact with pupils and do not carry out regulated activity do not require checks provided they are at all times accompanied by someone (e.g. a trainee) who has been checked.</w:t>
      </w:r>
    </w:p>
    <w:p w:rsidR="00003F16" w:rsidRPr="000C0BA6" w:rsidRDefault="00003F16" w:rsidP="00003F16">
      <w:pPr>
        <w:numPr>
          <w:ilvl w:val="0"/>
          <w:numId w:val="33"/>
        </w:numPr>
        <w:rPr>
          <w:rFonts w:ascii="Arial" w:hAnsi="Arial" w:cs="Arial"/>
        </w:rPr>
      </w:pPr>
      <w:r w:rsidRPr="000C0BA6">
        <w:rPr>
          <w:rFonts w:ascii="Arial" w:hAnsi="Arial" w:cs="Arial"/>
        </w:rPr>
        <w:t xml:space="preserve">Further checks should not be carried out on anyone entering training after completing a  subject knowledge enhancement programme, provided they are continuing their training with the same provider and the gap between the ending of the enhancement programme and the beginning of the ITT is shorter than three-months.  </w:t>
      </w:r>
    </w:p>
    <w:p w:rsidR="00003F16" w:rsidRPr="000C0BA6" w:rsidRDefault="00003F16" w:rsidP="00003F16">
      <w:pPr>
        <w:rPr>
          <w:rFonts w:ascii="Arial" w:hAnsi="Arial" w:cs="Arial"/>
        </w:rPr>
      </w:pPr>
    </w:p>
    <w:p w:rsidR="00003F16" w:rsidRPr="000C0BA6" w:rsidRDefault="00003F16" w:rsidP="00003F16">
      <w:pPr>
        <w:rPr>
          <w:rFonts w:ascii="Arial" w:hAnsi="Arial" w:cs="Arial"/>
          <w:b/>
        </w:rPr>
      </w:pPr>
      <w:r w:rsidRPr="000C0BA6">
        <w:rPr>
          <w:rFonts w:ascii="Arial" w:hAnsi="Arial" w:cs="Arial"/>
          <w:b/>
        </w:rPr>
        <w:t>Further information</w:t>
      </w:r>
    </w:p>
    <w:p w:rsidR="00003F16" w:rsidRPr="000C0BA6" w:rsidRDefault="00003F16" w:rsidP="00003F16">
      <w:pPr>
        <w:rPr>
          <w:rFonts w:ascii="Arial" w:hAnsi="Arial" w:cs="Arial"/>
          <w:b/>
        </w:rPr>
      </w:pPr>
    </w:p>
    <w:p w:rsidR="0071405B" w:rsidRPr="000C0BA6" w:rsidRDefault="0071405B" w:rsidP="0071405B">
      <w:pPr>
        <w:rPr>
          <w:rFonts w:ascii="Arial" w:hAnsi="Arial" w:cs="Arial"/>
        </w:rPr>
      </w:pPr>
      <w:r w:rsidRPr="000C0BA6">
        <w:rPr>
          <w:rFonts w:ascii="Arial" w:hAnsi="Arial" w:cs="Arial"/>
        </w:rPr>
        <w:t>Statutory guidance on keeping children safe</w:t>
      </w:r>
      <w:r w:rsidR="00D515AD" w:rsidRPr="000C0BA6">
        <w:rPr>
          <w:rFonts w:ascii="Arial" w:hAnsi="Arial" w:cs="Arial"/>
        </w:rPr>
        <w:t>, 2016</w:t>
      </w:r>
      <w:r w:rsidRPr="000C0BA6">
        <w:rPr>
          <w:rFonts w:ascii="Arial" w:hAnsi="Arial" w:cs="Arial"/>
        </w:rPr>
        <w:t xml:space="preserve">: </w:t>
      </w:r>
      <w:hyperlink r:id="rId16" w:history="1">
        <w:r w:rsidR="007A5B92" w:rsidRPr="000C0BA6">
          <w:rPr>
            <w:rStyle w:val="Hyperlink"/>
            <w:rFonts w:ascii="Arial" w:hAnsi="Arial" w:cs="Arial"/>
            <w:color w:val="auto"/>
          </w:rPr>
          <w:t>https://www.gov.uk/government/uploads/system/uploads/attachment_data/file/550511/Keeping_children_safe_in_education.pdf</w:t>
        </w:r>
      </w:hyperlink>
    </w:p>
    <w:p w:rsidR="007A5B92" w:rsidRPr="000C0BA6" w:rsidRDefault="007A5B92" w:rsidP="0071405B">
      <w:pPr>
        <w:rPr>
          <w:rFonts w:ascii="Arial" w:hAnsi="Arial" w:cs="Arial"/>
        </w:rPr>
      </w:pPr>
    </w:p>
    <w:p w:rsidR="00DC4994" w:rsidRPr="000C0BA6" w:rsidRDefault="00003F16" w:rsidP="00D515AD">
      <w:pPr>
        <w:pStyle w:val="Default"/>
        <w:rPr>
          <w:color w:val="auto"/>
        </w:rPr>
      </w:pPr>
      <w:r w:rsidRPr="000C0BA6">
        <w:rPr>
          <w:color w:val="auto"/>
        </w:rPr>
        <w:t xml:space="preserve">DFE guidance on the ITT requirements: </w:t>
      </w:r>
      <w:hyperlink r:id="rId17" w:history="1">
        <w:r w:rsidR="00D515AD" w:rsidRPr="000C0BA6">
          <w:rPr>
            <w:rStyle w:val="Hyperlink"/>
            <w:color w:val="auto"/>
          </w:rPr>
          <w:t>https://www.gov.uk/government/uploads/system/uploads/attachment_data/file/594123/Initial_teacher_training_criteria_and_supporting_advice.pdf</w:t>
        </w:r>
      </w:hyperlink>
    </w:p>
    <w:p w:rsidR="00DC4994" w:rsidRPr="000C0BA6" w:rsidRDefault="00DC4994" w:rsidP="00003F16">
      <w:pPr>
        <w:pStyle w:val="Default"/>
        <w:rPr>
          <w:color w:val="auto"/>
        </w:rPr>
      </w:pPr>
    </w:p>
    <w:p w:rsidR="00D515AD" w:rsidRPr="000C0BA6" w:rsidRDefault="00003F16" w:rsidP="00003F16">
      <w:pPr>
        <w:pStyle w:val="ListParagraph"/>
        <w:ind w:left="0"/>
        <w:rPr>
          <w:rFonts w:ascii="Arial" w:hAnsi="Arial" w:cs="Arial"/>
          <w:sz w:val="24"/>
          <w:szCs w:val="24"/>
          <w:lang w:val="en-GB"/>
        </w:rPr>
      </w:pPr>
      <w:r w:rsidRPr="000C0BA6">
        <w:rPr>
          <w:rFonts w:ascii="Arial" w:hAnsi="Arial" w:cs="Arial"/>
          <w:sz w:val="24"/>
          <w:szCs w:val="24"/>
          <w:lang w:val="en-GB"/>
        </w:rPr>
        <w:t>On the filtering out of ‘minor’ convictions &amp; cautions:</w:t>
      </w:r>
      <w:r w:rsidR="00D515AD" w:rsidRPr="000C0BA6">
        <w:rPr>
          <w:rFonts w:ascii="Arial" w:hAnsi="Arial" w:cs="Arial"/>
          <w:sz w:val="24"/>
          <w:szCs w:val="24"/>
          <w:lang w:val="en-GB"/>
        </w:rPr>
        <w:t xml:space="preserve"> </w:t>
      </w:r>
      <w:hyperlink r:id="rId18" w:history="1">
        <w:r w:rsidR="00D515AD" w:rsidRPr="000C0BA6">
          <w:rPr>
            <w:rStyle w:val="Hyperlink"/>
            <w:rFonts w:ascii="Arial" w:hAnsi="Arial" w:cs="Arial"/>
            <w:color w:val="auto"/>
            <w:sz w:val="24"/>
            <w:szCs w:val="24"/>
            <w:lang w:val="en-GB"/>
          </w:rPr>
          <w:t>https://www.gov.uk/government/publications/dbs-filtering-guidance/dbs-filtering-guide</w:t>
        </w:r>
      </w:hyperlink>
    </w:p>
    <w:p w:rsidR="00D515AD" w:rsidRPr="000C0BA6" w:rsidRDefault="00D515AD" w:rsidP="00003F16">
      <w:pPr>
        <w:pStyle w:val="ListParagraph"/>
        <w:ind w:left="0"/>
        <w:rPr>
          <w:rFonts w:ascii="Arial" w:hAnsi="Arial" w:cs="Arial"/>
          <w:sz w:val="24"/>
          <w:szCs w:val="24"/>
          <w:lang w:val="en-GB"/>
        </w:rPr>
      </w:pPr>
    </w:p>
    <w:p w:rsidR="000C0BA6" w:rsidRDefault="000C0BA6" w:rsidP="000C0BA6">
      <w:pPr>
        <w:pStyle w:val="NormalWeb"/>
        <w:spacing w:before="0" w:beforeAutospacing="0" w:after="300" w:afterAutospacing="0"/>
        <w:rPr>
          <w:rFonts w:ascii="Arial" w:hAnsi="Arial" w:cs="Arial"/>
        </w:rPr>
      </w:pPr>
      <w:r w:rsidRPr="000C0BA6">
        <w:rPr>
          <w:rFonts w:ascii="Arial" w:hAnsi="Arial" w:cs="Arial"/>
        </w:rPr>
        <w:t xml:space="preserve">Information relating to those who have lived or worked overseas: </w:t>
      </w:r>
      <w:hyperlink r:id="rId19" w:history="1">
        <w:r w:rsidRPr="00E70477">
          <w:rPr>
            <w:rStyle w:val="Hyperlink"/>
            <w:rFonts w:ascii="Arial" w:hAnsi="Arial" w:cs="Arial"/>
          </w:rPr>
          <w:t>https://www.gov.uk/government/uploads/system/uploads/attachment_data/file/582187/Criminal_Record_Checks_FAQ_Dec_16.pdf</w:t>
        </w:r>
      </w:hyperlink>
      <w:r>
        <w:rPr>
          <w:rFonts w:ascii="Arial" w:hAnsi="Arial" w:cs="Arial"/>
        </w:rPr>
        <w:t xml:space="preserve"> and </w:t>
      </w:r>
      <w:hyperlink r:id="rId20" w:history="1">
        <w:r w:rsidRPr="00E70477">
          <w:rPr>
            <w:rStyle w:val="Hyperlink"/>
            <w:rFonts w:ascii="Arial" w:hAnsi="Arial" w:cs="Arial"/>
          </w:rPr>
          <w:t>https://www.gov.uk/government/publications/criminal-records-checks-for-overseas-applicants</w:t>
        </w:r>
      </w:hyperlink>
    </w:p>
    <w:p w:rsidR="00003F16" w:rsidRPr="000C0BA6" w:rsidRDefault="000C0BA6" w:rsidP="00003F16">
      <w:pPr>
        <w:pStyle w:val="ListParagraph"/>
        <w:ind w:left="0"/>
        <w:jc w:val="both"/>
        <w:rPr>
          <w:rFonts w:ascii="Arial" w:hAnsi="Arial" w:cs="Arial"/>
          <w:b/>
          <w:sz w:val="24"/>
          <w:szCs w:val="24"/>
        </w:rPr>
      </w:pPr>
      <w:r>
        <w:rPr>
          <w:rFonts w:ascii="Arial" w:hAnsi="Arial" w:cs="Arial"/>
          <w:b/>
          <w:sz w:val="24"/>
          <w:szCs w:val="24"/>
        </w:rPr>
        <w:t>UCET/NASBTT:</w:t>
      </w:r>
      <w:r w:rsidR="00CA4405" w:rsidRPr="000C0BA6">
        <w:rPr>
          <w:rFonts w:ascii="Arial" w:hAnsi="Arial" w:cs="Arial"/>
          <w:b/>
          <w:sz w:val="24"/>
          <w:szCs w:val="24"/>
        </w:rPr>
        <w:t xml:space="preserve"> </w:t>
      </w:r>
      <w:r w:rsidR="00D515AD" w:rsidRPr="000C0BA6">
        <w:rPr>
          <w:rFonts w:ascii="Arial" w:hAnsi="Arial" w:cs="Arial"/>
          <w:b/>
          <w:sz w:val="24"/>
          <w:szCs w:val="24"/>
        </w:rPr>
        <w:t>March 2017</w:t>
      </w:r>
    </w:p>
    <w:p w:rsidR="00003F16" w:rsidRDefault="00003F16" w:rsidP="00003F16">
      <w:pPr>
        <w:jc w:val="center"/>
        <w:rPr>
          <w:rFonts w:ascii="Arial" w:hAnsi="Arial" w:cs="Arial"/>
          <w:b/>
          <w:sz w:val="20"/>
          <w:szCs w:val="20"/>
        </w:rPr>
      </w:pPr>
    </w:p>
    <w:sectPr w:rsidR="00003F16"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8FF" w:rsidRDefault="00EB58FF">
      <w:r>
        <w:separator/>
      </w:r>
    </w:p>
  </w:endnote>
  <w:endnote w:type="continuationSeparator" w:id="0">
    <w:p w:rsidR="00EB58FF" w:rsidRDefault="00EB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8FF" w:rsidRDefault="00EB58FF">
      <w:r>
        <w:separator/>
      </w:r>
    </w:p>
  </w:footnote>
  <w:footnote w:type="continuationSeparator" w:id="0">
    <w:p w:rsidR="00EB58FF" w:rsidRDefault="00EB5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740C6"/>
    <w:multiLevelType w:val="hybridMultilevel"/>
    <w:tmpl w:val="52AA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5E92ECE"/>
    <w:multiLevelType w:val="multilevel"/>
    <w:tmpl w:val="3B56B1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7A65CE5"/>
    <w:multiLevelType w:val="hybridMultilevel"/>
    <w:tmpl w:val="2CE82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2F1F00"/>
    <w:multiLevelType w:val="hybridMultilevel"/>
    <w:tmpl w:val="F5DA2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8D16EE"/>
    <w:multiLevelType w:val="multilevel"/>
    <w:tmpl w:val="AF946A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34D78"/>
    <w:multiLevelType w:val="hybridMultilevel"/>
    <w:tmpl w:val="C9AA0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C807552"/>
    <w:multiLevelType w:val="hybridMultilevel"/>
    <w:tmpl w:val="CEDEC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32"/>
  </w:num>
  <w:num w:numId="4">
    <w:abstractNumId w:val="3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2"/>
  </w:num>
  <w:num w:numId="16">
    <w:abstractNumId w:val="9"/>
  </w:num>
  <w:num w:numId="17">
    <w:abstractNumId w:val="0"/>
  </w:num>
  <w:num w:numId="18">
    <w:abstractNumId w:val="23"/>
  </w:num>
  <w:num w:numId="19">
    <w:abstractNumId w:val="33"/>
  </w:num>
  <w:num w:numId="20">
    <w:abstractNumId w:val="18"/>
  </w:num>
  <w:num w:numId="21">
    <w:abstractNumId w:val="20"/>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0"/>
  </w:num>
  <w:num w:numId="26">
    <w:abstractNumId w:val="34"/>
  </w:num>
  <w:num w:numId="27">
    <w:abstractNumId w:val="35"/>
  </w:num>
  <w:num w:numId="28">
    <w:abstractNumId w:val="29"/>
  </w:num>
  <w:num w:numId="29">
    <w:abstractNumId w:val="1"/>
  </w:num>
  <w:num w:numId="30">
    <w:abstractNumId w:val="13"/>
  </w:num>
  <w:num w:numId="31">
    <w:abstractNumId w:val="3"/>
  </w:num>
  <w:num w:numId="32">
    <w:abstractNumId w:val="27"/>
  </w:num>
  <w:num w:numId="33">
    <w:abstractNumId w:val="16"/>
  </w:num>
  <w:num w:numId="34">
    <w:abstractNumId w:val="11"/>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12"/>
    <w:rsid w:val="00003F16"/>
    <w:rsid w:val="0002127F"/>
    <w:rsid w:val="00021733"/>
    <w:rsid w:val="00026AC1"/>
    <w:rsid w:val="00056340"/>
    <w:rsid w:val="000663F4"/>
    <w:rsid w:val="000757B0"/>
    <w:rsid w:val="00075E3A"/>
    <w:rsid w:val="000842BA"/>
    <w:rsid w:val="000859B6"/>
    <w:rsid w:val="000871B3"/>
    <w:rsid w:val="000C0BA6"/>
    <w:rsid w:val="000E0804"/>
    <w:rsid w:val="000F1ECB"/>
    <w:rsid w:val="000F241C"/>
    <w:rsid w:val="000F5164"/>
    <w:rsid w:val="00100462"/>
    <w:rsid w:val="00102097"/>
    <w:rsid w:val="00125B89"/>
    <w:rsid w:val="00137534"/>
    <w:rsid w:val="00153D58"/>
    <w:rsid w:val="00160874"/>
    <w:rsid w:val="00161444"/>
    <w:rsid w:val="00163B98"/>
    <w:rsid w:val="00187862"/>
    <w:rsid w:val="00187C64"/>
    <w:rsid w:val="00195401"/>
    <w:rsid w:val="001A3DB2"/>
    <w:rsid w:val="001A58F8"/>
    <w:rsid w:val="00263612"/>
    <w:rsid w:val="0026528B"/>
    <w:rsid w:val="002B18AF"/>
    <w:rsid w:val="002D28F2"/>
    <w:rsid w:val="003030E1"/>
    <w:rsid w:val="00305363"/>
    <w:rsid w:val="00316025"/>
    <w:rsid w:val="003353A2"/>
    <w:rsid w:val="00335CAC"/>
    <w:rsid w:val="003701A6"/>
    <w:rsid w:val="00373FDA"/>
    <w:rsid w:val="0037715F"/>
    <w:rsid w:val="00392EDC"/>
    <w:rsid w:val="003A07AB"/>
    <w:rsid w:val="003C1FBB"/>
    <w:rsid w:val="003E399F"/>
    <w:rsid w:val="003E6C64"/>
    <w:rsid w:val="003F2CB2"/>
    <w:rsid w:val="004020BF"/>
    <w:rsid w:val="00404BC9"/>
    <w:rsid w:val="00406E3F"/>
    <w:rsid w:val="00446140"/>
    <w:rsid w:val="00460ADD"/>
    <w:rsid w:val="00473476"/>
    <w:rsid w:val="00473DD9"/>
    <w:rsid w:val="004919CD"/>
    <w:rsid w:val="004A6EB0"/>
    <w:rsid w:val="004C6301"/>
    <w:rsid w:val="004C6420"/>
    <w:rsid w:val="004D22CE"/>
    <w:rsid w:val="004D4E96"/>
    <w:rsid w:val="004E424F"/>
    <w:rsid w:val="00500668"/>
    <w:rsid w:val="0050585C"/>
    <w:rsid w:val="00510CD9"/>
    <w:rsid w:val="005241D6"/>
    <w:rsid w:val="00525454"/>
    <w:rsid w:val="00587A14"/>
    <w:rsid w:val="005D5021"/>
    <w:rsid w:val="005E7D3E"/>
    <w:rsid w:val="005F0D37"/>
    <w:rsid w:val="005F6649"/>
    <w:rsid w:val="00627F06"/>
    <w:rsid w:val="00663708"/>
    <w:rsid w:val="006713D1"/>
    <w:rsid w:val="00677185"/>
    <w:rsid w:val="006821DB"/>
    <w:rsid w:val="00687D57"/>
    <w:rsid w:val="0069062B"/>
    <w:rsid w:val="00692AA1"/>
    <w:rsid w:val="00697ED9"/>
    <w:rsid w:val="006B16E8"/>
    <w:rsid w:val="006B5194"/>
    <w:rsid w:val="006C1A63"/>
    <w:rsid w:val="006C7354"/>
    <w:rsid w:val="006F0BBA"/>
    <w:rsid w:val="006F3B08"/>
    <w:rsid w:val="0071182F"/>
    <w:rsid w:val="0071405B"/>
    <w:rsid w:val="00715788"/>
    <w:rsid w:val="00721158"/>
    <w:rsid w:val="007248F3"/>
    <w:rsid w:val="00727C0E"/>
    <w:rsid w:val="0073319F"/>
    <w:rsid w:val="00736840"/>
    <w:rsid w:val="00736FAE"/>
    <w:rsid w:val="00743468"/>
    <w:rsid w:val="00751025"/>
    <w:rsid w:val="00783030"/>
    <w:rsid w:val="0078342E"/>
    <w:rsid w:val="007A21CA"/>
    <w:rsid w:val="007A5B92"/>
    <w:rsid w:val="007B1F7F"/>
    <w:rsid w:val="007C6582"/>
    <w:rsid w:val="007C72AE"/>
    <w:rsid w:val="007D01A5"/>
    <w:rsid w:val="007D240E"/>
    <w:rsid w:val="007F7A39"/>
    <w:rsid w:val="00801AC2"/>
    <w:rsid w:val="008178C5"/>
    <w:rsid w:val="008253F5"/>
    <w:rsid w:val="00863C32"/>
    <w:rsid w:val="008654CA"/>
    <w:rsid w:val="0086641B"/>
    <w:rsid w:val="00874B01"/>
    <w:rsid w:val="008818D3"/>
    <w:rsid w:val="008A0A18"/>
    <w:rsid w:val="008B41DD"/>
    <w:rsid w:val="008F258C"/>
    <w:rsid w:val="00900283"/>
    <w:rsid w:val="00904226"/>
    <w:rsid w:val="009128F9"/>
    <w:rsid w:val="009179C1"/>
    <w:rsid w:val="009459D4"/>
    <w:rsid w:val="0095447C"/>
    <w:rsid w:val="00986160"/>
    <w:rsid w:val="009927E3"/>
    <w:rsid w:val="009B4042"/>
    <w:rsid w:val="00A5426C"/>
    <w:rsid w:val="00A62726"/>
    <w:rsid w:val="00A65CFD"/>
    <w:rsid w:val="00A751F3"/>
    <w:rsid w:val="00A97D3F"/>
    <w:rsid w:val="00AA07DD"/>
    <w:rsid w:val="00AA3673"/>
    <w:rsid w:val="00AB568E"/>
    <w:rsid w:val="00AD7290"/>
    <w:rsid w:val="00AE365F"/>
    <w:rsid w:val="00AE40D7"/>
    <w:rsid w:val="00AF7C09"/>
    <w:rsid w:val="00B6401E"/>
    <w:rsid w:val="00B65A82"/>
    <w:rsid w:val="00B73A50"/>
    <w:rsid w:val="00B80B29"/>
    <w:rsid w:val="00B93383"/>
    <w:rsid w:val="00BA540B"/>
    <w:rsid w:val="00BB00D6"/>
    <w:rsid w:val="00BB1276"/>
    <w:rsid w:val="00BC3218"/>
    <w:rsid w:val="00BD09A4"/>
    <w:rsid w:val="00C0032E"/>
    <w:rsid w:val="00C02640"/>
    <w:rsid w:val="00C23A79"/>
    <w:rsid w:val="00C27B2F"/>
    <w:rsid w:val="00C27CFF"/>
    <w:rsid w:val="00C33F65"/>
    <w:rsid w:val="00C4023E"/>
    <w:rsid w:val="00C51AF9"/>
    <w:rsid w:val="00C54884"/>
    <w:rsid w:val="00C61E12"/>
    <w:rsid w:val="00C76BA6"/>
    <w:rsid w:val="00C961EB"/>
    <w:rsid w:val="00CA4405"/>
    <w:rsid w:val="00CB45A4"/>
    <w:rsid w:val="00CD0DDA"/>
    <w:rsid w:val="00CD5C9E"/>
    <w:rsid w:val="00CD6CDB"/>
    <w:rsid w:val="00CD6E6C"/>
    <w:rsid w:val="00CD72E6"/>
    <w:rsid w:val="00CE3D94"/>
    <w:rsid w:val="00CF4AE3"/>
    <w:rsid w:val="00CF4EBB"/>
    <w:rsid w:val="00D006E8"/>
    <w:rsid w:val="00D01DF5"/>
    <w:rsid w:val="00D20FFF"/>
    <w:rsid w:val="00D3599D"/>
    <w:rsid w:val="00D515AD"/>
    <w:rsid w:val="00D660A0"/>
    <w:rsid w:val="00D85225"/>
    <w:rsid w:val="00D91D76"/>
    <w:rsid w:val="00DA18ED"/>
    <w:rsid w:val="00DA549A"/>
    <w:rsid w:val="00DB1486"/>
    <w:rsid w:val="00DB47B9"/>
    <w:rsid w:val="00DC0208"/>
    <w:rsid w:val="00DC2807"/>
    <w:rsid w:val="00DC4994"/>
    <w:rsid w:val="00DD5487"/>
    <w:rsid w:val="00DF1F30"/>
    <w:rsid w:val="00E04418"/>
    <w:rsid w:val="00E13FB2"/>
    <w:rsid w:val="00E265FE"/>
    <w:rsid w:val="00E27BA3"/>
    <w:rsid w:val="00E419E9"/>
    <w:rsid w:val="00E53BDF"/>
    <w:rsid w:val="00E64ED8"/>
    <w:rsid w:val="00E772EE"/>
    <w:rsid w:val="00EB58FF"/>
    <w:rsid w:val="00F263AC"/>
    <w:rsid w:val="00F27355"/>
    <w:rsid w:val="00F325CB"/>
    <w:rsid w:val="00F32B1D"/>
    <w:rsid w:val="00F41BF4"/>
    <w:rsid w:val="00F4448A"/>
    <w:rsid w:val="00F645E1"/>
    <w:rsid w:val="00F6662E"/>
    <w:rsid w:val="00F72876"/>
    <w:rsid w:val="00F738CB"/>
    <w:rsid w:val="00F83A4C"/>
    <w:rsid w:val="00F92622"/>
    <w:rsid w:val="00FE6035"/>
    <w:rsid w:val="00FF4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44CA45A-2725-4FD6-A8B8-56E0F155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eastAsia="en-US"/>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unhideWhenUsed/>
    <w:rsid w:val="008A0A18"/>
    <w:rPr>
      <w:rFonts w:ascii="Consolas" w:eastAsia="Calibri" w:hAnsi="Consolas"/>
      <w:sz w:val="21"/>
      <w:szCs w:val="21"/>
      <w:lang w:val="en-US"/>
    </w:rPr>
  </w:style>
  <w:style w:type="character" w:customStyle="1" w:styleId="PlainTextChar">
    <w:name w:val="Plain Text Char"/>
    <w:link w:val="PlainText"/>
    <w:uiPriority w:val="99"/>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link w:val="FootnoteText"/>
    <w:uiPriority w:val="99"/>
    <w:semiHidden/>
    <w:rsid w:val="00D006E8"/>
    <w:rPr>
      <w:rFonts w:ascii="Calibri" w:eastAsia="Calibri" w:hAnsi="Calibri"/>
    </w:rPr>
  </w:style>
  <w:style w:type="character" w:styleId="FootnoteReference">
    <w:name w:val="footnote reference"/>
    <w:uiPriority w:val="99"/>
    <w:semiHidden/>
    <w:unhideWhenUsed/>
    <w:rsid w:val="00D006E8"/>
    <w:rPr>
      <w:vertAlign w:val="superscript"/>
    </w:rPr>
  </w:style>
  <w:style w:type="paragraph" w:customStyle="1" w:styleId="Default">
    <w:name w:val="Default"/>
    <w:basedOn w:val="Normal"/>
    <w:rsid w:val="00003F16"/>
    <w:pPr>
      <w:autoSpaceDE w:val="0"/>
      <w:autoSpaceDN w:val="0"/>
    </w:pPr>
    <w:rPr>
      <w:rFonts w:ascii="Arial" w:eastAsia="Calibri" w:hAnsi="Arial" w:cs="Arial"/>
      <w:color w:val="000000"/>
      <w:lang w:val="en-US"/>
    </w:rPr>
  </w:style>
  <w:style w:type="character" w:styleId="FollowedHyperlink">
    <w:name w:val="FollowedHyperlink"/>
    <w:uiPriority w:val="99"/>
    <w:semiHidden/>
    <w:unhideWhenUsed/>
    <w:rsid w:val="00CD72E6"/>
    <w:rPr>
      <w:color w:val="954F72"/>
      <w:u w:val="single"/>
    </w:rPr>
  </w:style>
  <w:style w:type="paragraph" w:styleId="NormalWeb">
    <w:name w:val="Normal (Web)"/>
    <w:basedOn w:val="Normal"/>
    <w:uiPriority w:val="99"/>
    <w:semiHidden/>
    <w:unhideWhenUsed/>
    <w:rsid w:val="000C0BA6"/>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2490560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28338351">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2060602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21393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criminal-records-checks-for-overseas-applicants" TargetMode="External"/><Relationship Id="rId18" Type="http://schemas.openxmlformats.org/officeDocument/2006/relationships/hyperlink" Target="https://www.gov.uk/government/publications/dbs-filtering-guidance/dbs-filtering-gu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uidance/teacher-status-checks-information-for-employers" TargetMode="External"/><Relationship Id="rId17" Type="http://schemas.openxmlformats.org/officeDocument/2006/relationships/hyperlink" Target="https://www.gov.uk/government/uploads/system/uploads/attachment_data/file/594123/Initial_teacher_training_criteria_and_supporting_advice.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gov.uk/government/uploads/system/uploads/attachment_data/file/550511/Keeping_children_safe_in_education.pdf" TargetMode="External"/><Relationship Id="rId20" Type="http://schemas.openxmlformats.org/officeDocument/2006/relationships/hyperlink" Target="https://www.gov.uk/government/publications/criminal-records-checks-for-overseas-applic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nasbtt.hostings.co.uk/wp-content/themes/nasbtt/images/logo.png"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gov.uk/government/publications/disqualification-under-the-childcare-act-2006" TargetMode="External"/><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yperlink" Target="https://www.gov.uk/government/uploads/system/uploads/attachment_data/file/582187/Criminal_Record_Checks_FAQ_Dec_16.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cherservices.educati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6F037AAF034314CA02C7FEC89D466CF" ma:contentTypeVersion="0" ma:contentTypeDescription="Create a new document." ma:contentTypeScope="" ma:versionID="e0a94df982ffd11463ec797221fcfda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25E799-86E9-45D7-850F-2FA8E9CE4ABB}"/>
</file>

<file path=customXml/itemProps2.xml><?xml version="1.0" encoding="utf-8"?>
<ds:datastoreItem xmlns:ds="http://schemas.openxmlformats.org/officeDocument/2006/customXml" ds:itemID="{9AF40495-B416-4FC9-9FF9-0C02D6BAA1F6}"/>
</file>

<file path=customXml/itemProps3.xml><?xml version="1.0" encoding="utf-8"?>
<ds:datastoreItem xmlns:ds="http://schemas.openxmlformats.org/officeDocument/2006/customXml" ds:itemID="{C961020C-00FB-4C57-BE08-8A18A636197E}"/>
</file>

<file path=customXml/itemProps4.xml><?xml version="1.0" encoding="utf-8"?>
<ds:datastoreItem xmlns:ds="http://schemas.openxmlformats.org/officeDocument/2006/customXml" ds:itemID="{AC18A9A7-13F1-41D1-B373-1E3620ADDFCA}"/>
</file>

<file path=docProps/app.xml><?xml version="1.0" encoding="utf-8"?>
<Properties xmlns="http://schemas.openxmlformats.org/officeDocument/2006/extended-properties" xmlns:vt="http://schemas.openxmlformats.org/officeDocument/2006/docPropsVTypes">
  <Template>Normal</Template>
  <TotalTime>0</TotalTime>
  <Pages>5</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14948</CharactersWithSpaces>
  <SharedDoc>false</SharedDoc>
  <HLinks>
    <vt:vector size="60" baseType="variant">
      <vt:variant>
        <vt:i4>6815804</vt:i4>
      </vt:variant>
      <vt:variant>
        <vt:i4>24</vt:i4>
      </vt:variant>
      <vt:variant>
        <vt:i4>0</vt:i4>
      </vt:variant>
      <vt:variant>
        <vt:i4>5</vt:i4>
      </vt:variant>
      <vt:variant>
        <vt:lpwstr>https://www.gov.uk/government/publications/criminal-records-checks-for-overseas-applicants</vt:lpwstr>
      </vt:variant>
      <vt:variant>
        <vt:lpwstr/>
      </vt:variant>
      <vt:variant>
        <vt:i4>393238</vt:i4>
      </vt:variant>
      <vt:variant>
        <vt:i4>21</vt:i4>
      </vt:variant>
      <vt:variant>
        <vt:i4>0</vt:i4>
      </vt:variant>
      <vt:variant>
        <vt:i4>5</vt:i4>
      </vt:variant>
      <vt:variant>
        <vt:lpwstr>https://www.gov.uk/government/uploads/system/uploads/attachment_data/file/582187/Criminal_Record_Checks_FAQ_Dec_16.pdf</vt:lpwstr>
      </vt:variant>
      <vt:variant>
        <vt:lpwstr/>
      </vt:variant>
      <vt:variant>
        <vt:i4>1572941</vt:i4>
      </vt:variant>
      <vt:variant>
        <vt:i4>18</vt:i4>
      </vt:variant>
      <vt:variant>
        <vt:i4>0</vt:i4>
      </vt:variant>
      <vt:variant>
        <vt:i4>5</vt:i4>
      </vt:variant>
      <vt:variant>
        <vt:lpwstr>https://www.gov.uk/government/publications/dbs-filtering-guidance/dbs-filtering-guide</vt:lpwstr>
      </vt:variant>
      <vt:variant>
        <vt:lpwstr/>
      </vt:variant>
      <vt:variant>
        <vt:i4>2162698</vt:i4>
      </vt:variant>
      <vt:variant>
        <vt:i4>15</vt:i4>
      </vt:variant>
      <vt:variant>
        <vt:i4>0</vt:i4>
      </vt:variant>
      <vt:variant>
        <vt:i4>5</vt:i4>
      </vt:variant>
      <vt:variant>
        <vt:lpwstr>https://www.gov.uk/government/uploads/system/uploads/attachment_data/file/594123/Initial_teacher_training_criteria_and_supporting_advice.pdf</vt:lpwstr>
      </vt:variant>
      <vt:variant>
        <vt:lpwstr/>
      </vt:variant>
      <vt:variant>
        <vt:i4>1835057</vt:i4>
      </vt:variant>
      <vt:variant>
        <vt:i4>12</vt:i4>
      </vt:variant>
      <vt:variant>
        <vt:i4>0</vt:i4>
      </vt:variant>
      <vt:variant>
        <vt:i4>5</vt:i4>
      </vt:variant>
      <vt:variant>
        <vt:lpwstr>https://www.gov.uk/government/uploads/system/uploads/attachment_data/file/550511/Keeping_children_safe_in_education.pdf</vt:lpwstr>
      </vt:variant>
      <vt:variant>
        <vt:lpwstr/>
      </vt:variant>
      <vt:variant>
        <vt:i4>1114204</vt:i4>
      </vt:variant>
      <vt:variant>
        <vt:i4>9</vt:i4>
      </vt:variant>
      <vt:variant>
        <vt:i4>0</vt:i4>
      </vt:variant>
      <vt:variant>
        <vt:i4>5</vt:i4>
      </vt:variant>
      <vt:variant>
        <vt:lpwstr>https://www.gov.uk/government/publications/disqualification-under-the-childcare-act-2006</vt:lpwstr>
      </vt:variant>
      <vt:variant>
        <vt:lpwstr/>
      </vt:variant>
      <vt:variant>
        <vt:i4>4784222</vt:i4>
      </vt:variant>
      <vt:variant>
        <vt:i4>6</vt:i4>
      </vt:variant>
      <vt:variant>
        <vt:i4>0</vt:i4>
      </vt:variant>
      <vt:variant>
        <vt:i4>5</vt:i4>
      </vt:variant>
      <vt:variant>
        <vt:lpwstr>https://teacherservices.education.gov.uk/</vt:lpwstr>
      </vt:variant>
      <vt:variant>
        <vt:lpwstr/>
      </vt:variant>
      <vt:variant>
        <vt:i4>6815804</vt:i4>
      </vt:variant>
      <vt:variant>
        <vt:i4>3</vt:i4>
      </vt:variant>
      <vt:variant>
        <vt:i4>0</vt:i4>
      </vt:variant>
      <vt:variant>
        <vt:i4>5</vt:i4>
      </vt:variant>
      <vt:variant>
        <vt:lpwstr>https://www.gov.uk/government/publications/criminal-records-checks-for-overseas-applicants</vt:lpwstr>
      </vt:variant>
      <vt:variant>
        <vt:lpwstr/>
      </vt:variant>
      <vt:variant>
        <vt:i4>3014716</vt:i4>
      </vt:variant>
      <vt:variant>
        <vt:i4>0</vt:i4>
      </vt:variant>
      <vt:variant>
        <vt:i4>0</vt:i4>
      </vt:variant>
      <vt:variant>
        <vt:i4>5</vt:i4>
      </vt:variant>
      <vt:variant>
        <vt:lpwstr>https://www.gov.uk/guidance/teacher-status-checks-information-for-employers</vt:lpwstr>
      </vt:variant>
      <vt:variant>
        <vt:lpwstr/>
      </vt:variant>
      <vt:variant>
        <vt:i4>5111810</vt:i4>
      </vt:variant>
      <vt:variant>
        <vt:i4>-1</vt:i4>
      </vt:variant>
      <vt:variant>
        <vt:i4>1031</vt:i4>
      </vt:variant>
      <vt:variant>
        <vt:i4>1</vt:i4>
      </vt:variant>
      <vt:variant>
        <vt:lpwstr>http://nasbtt.hostings.co.uk/wp-content/themes/nasbtt/images/logo.png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Godsland</dc:creator>
  <cp:keywords/>
  <cp:lastModifiedBy>Lauren Dickson</cp:lastModifiedBy>
  <cp:revision>2</cp:revision>
  <cp:lastPrinted>2017-03-06T11:44:00Z</cp:lastPrinted>
  <dcterms:created xsi:type="dcterms:W3CDTF">2017-08-01T15:46:00Z</dcterms:created>
  <dcterms:modified xsi:type="dcterms:W3CDTF">2017-08-01T15:46:00Z</dcterms:modified>
</cp:coreProperties>
</file>